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3FCB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中原银行平顶山分行工会委员会2026年在岗职工生日福利采购项目</w:t>
      </w:r>
    </w:p>
    <w:p w14:paraId="550EEACA">
      <w:pPr>
        <w:spacing w:line="360" w:lineRule="auto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竞争性磋商公告</w:t>
      </w:r>
    </w:p>
    <w:p w14:paraId="4CE39F9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一、采购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条件</w:t>
      </w:r>
    </w:p>
    <w:p w14:paraId="3B9D29B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highlight w:val="none"/>
        </w:rPr>
        <w:t>恒信咨询管理有限公司受</w:t>
      </w:r>
      <w:r>
        <w:rPr>
          <w:rFonts w:hint="eastAsia" w:ascii="宋体" w:hAnsi="宋体" w:eastAsia="宋体" w:cs="宋体"/>
          <w:highlight w:val="none"/>
          <w:lang w:val="en-US" w:eastAsia="zh-CN"/>
        </w:rPr>
        <w:t>中原银行股份有限公司平顶山分行工会委员会</w:t>
      </w:r>
      <w:r>
        <w:rPr>
          <w:rFonts w:hint="eastAsia" w:ascii="宋体" w:hAnsi="宋体" w:eastAsia="宋体" w:cs="宋体"/>
          <w:highlight w:val="none"/>
        </w:rPr>
        <w:t>的委托，就</w:t>
      </w:r>
      <w:r>
        <w:rPr>
          <w:rFonts w:hint="eastAsia" w:ascii="宋体" w:hAnsi="宋体" w:eastAsia="宋体" w:cs="宋体"/>
          <w:highlight w:val="none"/>
          <w:lang w:eastAsia="zh-CN"/>
        </w:rPr>
        <w:t>中原银行平顶山分行工会委员会2026年在岗职工生日福利采购项目</w:t>
      </w:r>
      <w:r>
        <w:rPr>
          <w:rFonts w:hint="eastAsia" w:ascii="宋体" w:hAnsi="宋体" w:eastAsia="宋体" w:cs="宋体"/>
          <w:color w:val="auto"/>
          <w:highlight w:val="none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磋商采购</w:t>
      </w:r>
      <w:r>
        <w:rPr>
          <w:rFonts w:hint="eastAsia" w:ascii="宋体" w:hAnsi="宋体" w:eastAsia="宋体" w:cs="宋体"/>
          <w:color w:val="auto"/>
          <w:highlight w:val="none"/>
        </w:rPr>
        <w:t>，现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欢迎符合要求的单位</w:t>
      </w:r>
      <w:r>
        <w:rPr>
          <w:rFonts w:hint="eastAsia" w:ascii="宋体" w:hAnsi="宋体" w:eastAsia="宋体" w:cs="宋体"/>
          <w:color w:val="auto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竞争性磋商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 w14:paraId="70D6D16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bookmarkStart w:id="0" w:name="_Toc2160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、项目基本情况</w:t>
      </w:r>
      <w:bookmarkEnd w:id="0"/>
    </w:p>
    <w:p w14:paraId="40BAF4A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项目编号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</w:rPr>
        <w:t>HXZX-2025-12-18-472</w:t>
      </w:r>
    </w:p>
    <w:p w14:paraId="532B37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中原银行平顶山分行工会委员会2026年在岗职工生日福利采购项目</w:t>
      </w:r>
    </w:p>
    <w:p w14:paraId="2E80E02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采购方式：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竞争性磋商</w:t>
      </w:r>
    </w:p>
    <w:p w14:paraId="10CECA4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预算金额：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443700.00元（含税）</w:t>
      </w:r>
    </w:p>
    <w:p w14:paraId="39E6419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</w:pPr>
      <w:bookmarkStart w:id="1" w:name="_Toc26079"/>
      <w:bookmarkStart w:id="2" w:name="_Toc24040"/>
      <w:bookmarkStart w:id="3" w:name="_Toc27913"/>
      <w:bookmarkStart w:id="4" w:name="_Toc21071"/>
      <w:bookmarkStart w:id="5" w:name="_Toc19521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采购需求</w:t>
      </w:r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（包括但不限于标的的</w:t>
      </w:r>
      <w:bookmarkStart w:id="38" w:name="_GoBack"/>
      <w:bookmarkEnd w:id="38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名称、数量、简要技术需求或服务要求等）</w:t>
      </w:r>
    </w:p>
    <w:p w14:paraId="0A2F05F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 采购范围：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拟为全行在岗职工1479人发放生日福利品（</w:t>
      </w:r>
      <w:r>
        <w:rPr>
          <w:rFonts w:hint="eastAsia" w:ascii="Calibri" w:eastAsia="宋体"/>
          <w:lang w:val="en-US" w:eastAsia="zh-CN"/>
        </w:rPr>
        <w:t>生日蛋糕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 w14:paraId="00EB49B7"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5.2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蛋糕券/卡有效期：自交付之日起12个月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6C073CF">
      <w:pPr>
        <w:autoSpaceDE w:val="0"/>
        <w:autoSpaceDN w:val="0"/>
        <w:adjustRightInd w:val="0"/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5.3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服务期限：自合同签订之日起1年。</w:t>
      </w:r>
    </w:p>
    <w:p w14:paraId="7E58BB19"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 质量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合格，符合国家及相关行业规定规范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10D0BBB">
      <w:pPr>
        <w:autoSpaceDE w:val="0"/>
        <w:autoSpaceDN w:val="0"/>
        <w:adjustRightInd w:val="0"/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 供货地点：供应商以蛋糕券（或蛋糕卡）形式交给采购人，凭券（或卡）到供应商所属任意门店可领取，也可以以预约配送等方式交货。</w:t>
      </w:r>
    </w:p>
    <w:p w14:paraId="29FE792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bookmarkStart w:id="6" w:name="_Toc23626"/>
      <w:bookmarkStart w:id="7" w:name="_Toc27704"/>
      <w:bookmarkStart w:id="8" w:name="_Toc18607"/>
      <w:bookmarkStart w:id="9" w:name="_Toc16639"/>
      <w:bookmarkStart w:id="10" w:name="_Toc20575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bookmarkEnd w:id="6"/>
      <w:bookmarkEnd w:id="7"/>
      <w:bookmarkEnd w:id="8"/>
      <w:bookmarkEnd w:id="9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资格要求</w:t>
      </w:r>
      <w:bookmarkEnd w:id="10"/>
    </w:p>
    <w:p w14:paraId="4C322A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highlight w:val="none"/>
        </w:rPr>
        <w:t>供应商应在中华人民共和国境内注册，具有独立承担民事责任能力的法人或其他组织（提供企业营业执照或其他相关证明文件）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5E226918">
      <w:pPr>
        <w:keepNext w:val="0"/>
        <w:keepLines w:val="0"/>
        <w:pageBreakBefore w:val="0"/>
        <w:widowControl w:val="0"/>
        <w:tabs>
          <w:tab w:val="left" w:pos="861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2、供应商应具有有效的《食品经营许可证》或《食品生产许可证》。</w:t>
      </w:r>
    </w:p>
    <w:p w14:paraId="35217F6B">
      <w:pPr>
        <w:keepNext w:val="0"/>
        <w:keepLines w:val="0"/>
        <w:pageBreakBefore w:val="0"/>
        <w:widowControl w:val="0"/>
        <w:tabs>
          <w:tab w:val="left" w:pos="861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3、具有良好的商业信誉和健全的财务会计制度，须提供经审计的2024年度财务审计报告（需注册会计师签字并盖章）或银行出具的资信证明或承诺书。</w:t>
      </w:r>
    </w:p>
    <w:p w14:paraId="182900C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4、具有履行合同所必需的设备和专业技术能力（自行承诺）。</w:t>
      </w:r>
    </w:p>
    <w:p w14:paraId="4CABD4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highlight w:val="none"/>
        </w:rPr>
        <w:t>供应商2022年1月1日以来（以合同签订日期为准）须具有至少一份同类项目业绩经验（需提供相关证明材料，包含合同名称、签署时间、具体服务项目或服务内容、双方盖章页等信息，否则不予认可）</w:t>
      </w:r>
      <w:r>
        <w:rPr>
          <w:rFonts w:hint="eastAsia" w:ascii="宋体" w:hAnsi="宋体" w:eastAsia="宋体" w:cs="宋体"/>
          <w:color w:val="auto"/>
          <w:sz w:val="21"/>
          <w:highlight w:val="none"/>
          <w:lang w:eastAsia="zh-CN"/>
        </w:rPr>
        <w:t>。</w:t>
      </w:r>
    </w:p>
    <w:p w14:paraId="452B5DF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6、参加采购活动前3年内在经营活动中没有重大违法记录（自行承诺）。</w:t>
      </w:r>
    </w:p>
    <w:p w14:paraId="1F4630D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、提供在“中国裁判文书网”网站（wenshu.court.gov.cn）查询详细页面（具体查询步骤参考：网站首页→高级检索→案由→刑事案由→贪污贿赂罪→行贿罪）。2022年1月1日以来，经查询有行贿犯罪记录的将被取消磋商资格。（查询时间为磋商邀请函发出之日或以后，查询结果截图应显示查询时间，查询相关主体：供应商、法定代表人（经营者））。</w:t>
      </w:r>
    </w:p>
    <w:p w14:paraId="14F0BDA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8、</w:t>
      </w:r>
      <w:r>
        <w:rPr>
          <w:rFonts w:hint="eastAsia" w:eastAsia="宋体" w:cs="宋体"/>
          <w:bCs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需满足在</w:t>
      </w:r>
      <w:r>
        <w:rPr>
          <w:rFonts w:hint="eastAsia" w:ascii="Calibri" w:eastAsia="宋体"/>
          <w:lang w:val="en-US" w:eastAsia="zh-CN"/>
        </w:rPr>
        <w:t>“信用中国”（或中国执行信息公开网）网站没有被列入“失信被执行人”、“重大税收违法失信主体”、“中国政府采购”网站没有被列入“政府采购严重违法失信行为记录名单”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。</w:t>
      </w:r>
      <w:r>
        <w:rPr>
          <w:rFonts w:hint="eastAsia" w:eastAsia="宋体" w:cs="宋体"/>
          <w:bCs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可通过“信用中国”网站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“中国执行信息公开网”网站</w:t>
      </w:r>
      <w:r>
        <w:rPr>
          <w:rFonts w:hint="eastAsia" w:ascii="Calibri" w:eastAsia="宋体"/>
          <w:lang w:val="en-US" w:eastAsia="zh-CN"/>
        </w:rPr>
        <w:t>“中国政府采购网”网站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查询，并提供查询网页（查询网页需体现查询时间，查询时间需在公告发布之后）</w:t>
      </w:r>
      <w:r>
        <w:rPr>
          <w:rFonts w:hint="eastAsia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 w14:paraId="4FC6C597">
      <w:pPr>
        <w:wordWrap/>
        <w:topLinePunct w:val="0"/>
        <w:spacing w:line="360" w:lineRule="auto"/>
        <w:ind w:firstLine="42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对于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查询过程中输入信息或查询路径不准确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或专家对查询结果有异议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等的，可由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或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代理机构在</w:t>
      </w:r>
      <w:r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当天进行查询复核并留档，以查询复核结果为准</w:t>
      </w:r>
      <w:r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  <w:t>。</w:t>
      </w:r>
    </w:p>
    <w:p w14:paraId="337091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9、单位负责人为同一人或者存在控股、管理关系的不同单位，不得参加同一磋商项目响应（自行承诺）。</w:t>
      </w:r>
    </w:p>
    <w:p w14:paraId="039D3A8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本次磋商采购不接受联合体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磋商。</w:t>
      </w:r>
    </w:p>
    <w:p w14:paraId="33095D0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bookmarkStart w:id="11" w:name="_Toc30971"/>
      <w:bookmarkStart w:id="12" w:name="_Toc23395"/>
      <w:bookmarkStart w:id="13" w:name="_Toc30643"/>
      <w:bookmarkStart w:id="14" w:name="_Toc9562"/>
      <w:bookmarkStart w:id="15" w:name="_Toc7823"/>
      <w:bookmarkStart w:id="16" w:name="_Toc26363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获取</w:t>
      </w:r>
      <w:bookmarkEnd w:id="11"/>
      <w:bookmarkEnd w:id="12"/>
      <w:bookmarkEnd w:id="13"/>
      <w:bookmarkEnd w:id="14"/>
      <w:bookmarkEnd w:id="15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采购文件</w:t>
      </w:r>
      <w:bookmarkEnd w:id="16"/>
    </w:p>
    <w:p w14:paraId="38DE4EDD">
      <w:pPr>
        <w:widowControl/>
        <w:wordWrap w:val="0"/>
        <w:topLinePunct w:val="0"/>
        <w:spacing w:before="0" w:beforeAutospacing="0" w:after="0" w:afterAutospacing="0" w:line="360" w:lineRule="auto"/>
        <w:ind w:firstLine="420" w:firstLineChars="200"/>
        <w:jc w:val="left"/>
        <w:rPr>
          <w:rFonts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</w:pPr>
      <w:bookmarkStart w:id="17" w:name="_Toc27480"/>
      <w:bookmarkStart w:id="18" w:name="_Toc15111"/>
      <w:bookmarkStart w:id="19" w:name="_Toc25869"/>
      <w:bookmarkStart w:id="20" w:name="_Toc15135"/>
      <w:bookmarkStart w:id="21" w:name="_Toc10738"/>
      <w:bookmarkStart w:id="22" w:name="_Toc10064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1.时间：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年</w:t>
      </w:r>
      <w:r>
        <w:rPr>
          <w:rFonts w:hint="eastAsia" w:eastAsia="宋体" w:cs="宋体"/>
          <w:szCs w:val="21"/>
          <w:highlight w:val="none"/>
          <w:u w:val="none"/>
          <w:lang w:val="en-US" w:eastAsia="zh-CN"/>
        </w:rPr>
        <w:t>01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月</w:t>
      </w:r>
      <w:r>
        <w:rPr>
          <w:rFonts w:hint="eastAsia" w:eastAsia="宋体" w:cs="宋体"/>
          <w:szCs w:val="21"/>
          <w:highlight w:val="none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 xml:space="preserve">日至 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年</w:t>
      </w:r>
      <w:r>
        <w:rPr>
          <w:rFonts w:hint="eastAsia" w:eastAsia="宋体" w:cs="宋体"/>
          <w:szCs w:val="21"/>
          <w:highlight w:val="none"/>
          <w:u w:val="none"/>
          <w:lang w:val="en-US" w:eastAsia="zh-CN"/>
        </w:rPr>
        <w:t>01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月</w:t>
      </w:r>
      <w:r>
        <w:rPr>
          <w:rFonts w:hint="eastAsia" w:eastAsia="宋体" w:cs="宋体"/>
          <w:szCs w:val="21"/>
          <w:highlight w:val="none"/>
          <w:u w:val="none"/>
          <w:lang w:val="en-US" w:eastAsia="zh-CN"/>
        </w:rPr>
        <w:t>27</w:t>
      </w:r>
      <w:r>
        <w:rPr>
          <w:rFonts w:hint="eastAsia" w:ascii="宋体" w:hAnsi="宋体" w:eastAsia="宋体" w:cs="宋体"/>
          <w:szCs w:val="21"/>
          <w:highlight w:val="none"/>
          <w:u w:val="none"/>
        </w:rPr>
        <w:t>日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，每天上午8：30至12:00，下午14:00至17:00（北京时间，法定节假日除外）。</w:t>
      </w:r>
    </w:p>
    <w:p w14:paraId="41EDF51F">
      <w:pPr>
        <w:widowControl/>
        <w:wordWrap w:val="0"/>
        <w:topLinePunct w:val="0"/>
        <w:spacing w:before="0" w:beforeAutospacing="0" w:after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2.凡有意参加的供应商，须在获取采购文件时间内提供以下资料：①加盖公章的“磋商文件获取登记表”（格式详见附件1）；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②法定代表人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（经营者）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身份证明材料或授权委托书（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格式详见附件2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）、法定代表人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（经营者）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及被授权委托人身份证；③企业营业执照或其他证明文件；④磋商文件费用转账凭证；以上资料合并扫描成一个PDF发送至邮箱：hxzx04@163.com。采购代理机构收到资料后将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磋商文件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-SA"/>
        </w:rPr>
        <w:t>电子版发回至供应商邮箱。</w:t>
      </w:r>
    </w:p>
    <w:p w14:paraId="4D4B951B">
      <w:pPr>
        <w:widowControl/>
        <w:wordWrap w:val="0"/>
        <w:topLinePunct w:val="0"/>
        <w:spacing w:before="0" w:beforeAutospacing="0" w:after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3.售价：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-SA"/>
        </w:rPr>
        <w:t>5</w:t>
      </w:r>
      <w:r>
        <w:rPr>
          <w:rFonts w:ascii="宋体" w:hAnsi="宋体" w:eastAsia="宋体" w:cs="宋体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shd w:val="clear" w:color="auto" w:fill="FFFFFF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元/份，售后不退。供应商应在发送邮件的当天，采用银行公对公转账方式转入采购代理机构指定账户，转账时备注供应商名称全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称+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【HXZB】20251353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+文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件费（若采用个户对公户转账，后续不再开具发票）。</w:t>
      </w:r>
    </w:p>
    <w:p w14:paraId="27B911D5">
      <w:pPr>
        <w:widowControl/>
        <w:wordWrap w:val="0"/>
        <w:topLinePunct w:val="0"/>
        <w:spacing w:before="0" w:beforeAutospacing="0" w:after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单位名称：恒信咨询管理有限公司</w:t>
      </w:r>
    </w:p>
    <w:p w14:paraId="1F7C5703">
      <w:pPr>
        <w:widowControl/>
        <w:wordWrap w:val="0"/>
        <w:topLinePunct w:val="0"/>
        <w:spacing w:before="0" w:beforeAutospacing="0" w:after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开户银行∶交行郑州北环路支行</w:t>
      </w:r>
    </w:p>
    <w:p w14:paraId="01CA1C3B">
      <w:pPr>
        <w:widowControl/>
        <w:wordWrap w:val="0"/>
        <w:topLinePunct w:val="0"/>
        <w:spacing w:before="0" w:beforeAutospacing="0" w:after="0" w:afterAutospacing="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账号∶4110 624 000 1801 000 5642 </w:t>
      </w:r>
    </w:p>
    <w:p w14:paraId="010A8517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shd w:val="clear" w:color="auto" w:fill="FFFFFF"/>
        </w:rPr>
        <w:t>行号∶301491000769</w:t>
      </w:r>
    </w:p>
    <w:p w14:paraId="58B3AD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bidi w:val="0"/>
        <w:snapToGrid/>
        <w:spacing w:before="0" w:beforeAutospacing="0" w:after="0" w:afterAutospacing="0" w:line="336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、</w:t>
      </w:r>
      <w:bookmarkEnd w:id="17"/>
      <w:bookmarkEnd w:id="18"/>
      <w:bookmarkEnd w:id="19"/>
      <w:bookmarkEnd w:id="20"/>
      <w:bookmarkEnd w:id="2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文件提交</w:t>
      </w:r>
      <w:bookmarkEnd w:id="22"/>
    </w:p>
    <w:p w14:paraId="44E4D07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1、时间：2026年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月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日09时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0分（北京时间）。</w:t>
      </w:r>
    </w:p>
    <w:p w14:paraId="1E1FD9C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2、地点：河南省平顶山市湛河区姚电大道7号中原银行股份有限公司平顶山分行21楼会议室。</w:t>
      </w:r>
    </w:p>
    <w:p w14:paraId="008FAEC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bookmarkStart w:id="23" w:name="_Toc23175"/>
      <w:bookmarkStart w:id="24" w:name="_Toc18536"/>
      <w:bookmarkStart w:id="25" w:name="_Toc32183"/>
      <w:bookmarkStart w:id="26" w:name="_Toc20992"/>
      <w:bookmarkStart w:id="27" w:name="_Toc1178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</w:t>
      </w:r>
      <w:bookmarkEnd w:id="23"/>
      <w:bookmarkEnd w:id="24"/>
      <w:bookmarkEnd w:id="25"/>
      <w:bookmarkEnd w:id="2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响应文件开启</w:t>
      </w:r>
      <w:bookmarkEnd w:id="27"/>
    </w:p>
    <w:p w14:paraId="6D3D861B">
      <w:pPr>
        <w:keepNext w:val="0"/>
        <w:keepLines w:val="0"/>
        <w:pageBreakBefore w:val="0"/>
        <w:widowControl/>
        <w:kinsoku/>
        <w:wordWrap w:val="0"/>
        <w:overflowPunct/>
        <w:topLinePunct/>
        <w:bidi w:val="0"/>
        <w:snapToGrid/>
        <w:spacing w:before="0" w:beforeAutospacing="0" w:after="0" w:afterAutospacing="0" w:line="336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1、时间：2026年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月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日09时</w:t>
      </w:r>
      <w:r>
        <w:rPr>
          <w:rFonts w:hint="eastAsia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0分（北京时间）。</w:t>
      </w:r>
    </w:p>
    <w:p w14:paraId="5225906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2、地点：河南省平顶山市湛河区姚电大道7号中原银行股份有限公司平顶山分行21楼会议室。</w:t>
      </w:r>
    </w:p>
    <w:p w14:paraId="342F3FCF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bookmarkStart w:id="28" w:name="_Toc218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发布媒介及公告期限</w:t>
      </w:r>
    </w:p>
    <w:p w14:paraId="44E356D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本次磋商公告在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《中国招标投标公共服务平台》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《中招联合招标采购网》《恒信咨询网》上发布，公告期限为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个工作日</w:t>
      </w:r>
    </w:p>
    <w:p w14:paraId="731118D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八、凡对本次招标提出询问，请按照以下方式联系</w:t>
      </w:r>
      <w:bookmarkEnd w:id="28"/>
    </w:p>
    <w:p w14:paraId="77A323E1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中原银行股份有限公司平顶山分行工会委员会</w:t>
      </w:r>
    </w:p>
    <w:p w14:paraId="2CD9B720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 址：河南省平顶山市湛河区姚电大道7号</w:t>
      </w:r>
    </w:p>
    <w:p w14:paraId="385E4519">
      <w:pPr>
        <w:wordWrap/>
        <w:topLinePunct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张老师、王老师</w:t>
      </w:r>
    </w:p>
    <w:p w14:paraId="2C514CC1">
      <w:pPr>
        <w:wordWrap/>
        <w:topLinePunct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联系方式：</w:t>
      </w:r>
      <w:r>
        <w:rPr>
          <w:rFonts w:hint="eastAsia" w:eastAsia="宋体"/>
          <w:color w:val="auto"/>
          <w:highlight w:val="none"/>
          <w:lang w:val="en-US" w:eastAsia="zh-CN"/>
        </w:rPr>
        <w:t>0375-2956755</w:t>
      </w:r>
    </w:p>
    <w:p w14:paraId="096EF918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采购代理机构：恒信咨询管理有限公司</w:t>
      </w:r>
    </w:p>
    <w:p w14:paraId="27F92D60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  址：郑州市电厂路河南省国家大学科技园（东区）16号楼B座6楼</w:t>
      </w:r>
    </w:p>
    <w:p w14:paraId="4E3094F8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eastAsia="宋体" w:cs="宋体"/>
          <w:color w:val="auto"/>
          <w:sz w:val="21"/>
          <w:szCs w:val="21"/>
          <w:highlight w:val="none"/>
          <w:lang w:val="en-US" w:eastAsia="zh-CN"/>
        </w:rPr>
        <w:t>王倩倩、李月晓、袁芙蓉、马哲</w:t>
      </w:r>
    </w:p>
    <w:p w14:paraId="6DAA1686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电话：0371-55131206、0371-86688491</w:t>
      </w:r>
    </w:p>
    <w:p w14:paraId="0EE23494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电子邮箱：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instrText xml:space="preserve"> HYPERLINK "mailto:hxzxzbb@163.com"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separate"/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hxzx04@163.com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end"/>
      </w:r>
    </w:p>
    <w:p w14:paraId="2298A0B6">
      <w:pPr>
        <w:pStyle w:val="5"/>
        <w:rPr>
          <w:rFonts w:hint="eastAsia" w:eastAsia="宋体" w:cs="Times New Roman"/>
          <w:color w:val="auto"/>
          <w:highlight w:val="none"/>
        </w:rPr>
      </w:pPr>
    </w:p>
    <w:p w14:paraId="40BB811D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54BA0E51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2D1124E2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263EE2BF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5FEC9636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2CB7258">
      <w:pPr>
        <w:pStyle w:val="5"/>
        <w:rPr>
          <w:rFonts w:hint="eastAsia" w:eastAsia="宋体" w:cs="Times New Roman"/>
          <w:color w:val="auto"/>
          <w:highlight w:val="none"/>
          <w:lang w:val="en-US" w:eastAsia="zh-CN"/>
        </w:rPr>
      </w:pPr>
    </w:p>
    <w:p w14:paraId="6990E531">
      <w:pPr>
        <w:wordWrap/>
        <w:topLinePunct/>
        <w:spacing w:line="24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附件1：</w:t>
      </w:r>
    </w:p>
    <w:p w14:paraId="1C12BEC4">
      <w:pPr>
        <w:widowControl w:val="0"/>
        <w:wordWrap/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 w:bidi="ar-SA"/>
        </w:rPr>
        <w:t>中原银行平顶山分行工会委员会2026年在岗职工生日福利采购项目磋商文件获取登记表</w:t>
      </w:r>
    </w:p>
    <w:p w14:paraId="0C1A8452">
      <w:pPr>
        <w:widowControl w:val="0"/>
        <w:wordWrap/>
        <w:topLinePunct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</w:pPr>
    </w:p>
    <w:p w14:paraId="40D0D036">
      <w:pPr>
        <w:widowControl w:val="0"/>
        <w:wordWrap/>
        <w:topLinePunct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p w14:paraId="0120A5BF">
      <w:pPr>
        <w:widowControl w:val="0"/>
        <w:wordWrap/>
        <w:topLinePunct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p w14:paraId="4C53A7DE">
      <w:pPr>
        <w:widowControl w:val="0"/>
        <w:wordWrap/>
        <w:topLinePunct w:val="0"/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3B81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0D64C986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D725F39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44A7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51072329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8CDD8B7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 w14:paraId="0DFA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3F43B151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（经营者）</w:t>
            </w:r>
          </w:p>
        </w:tc>
        <w:tc>
          <w:tcPr>
            <w:tcW w:w="2208" w:type="dxa"/>
            <w:noWrap w:val="0"/>
            <w:vAlign w:val="center"/>
          </w:tcPr>
          <w:p w14:paraId="40667754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731AC47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身份证号：</w:t>
            </w:r>
          </w:p>
        </w:tc>
      </w:tr>
      <w:tr w14:paraId="618E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514FFAAB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AA6EACF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E611A3F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身份证号：</w:t>
            </w:r>
          </w:p>
        </w:tc>
      </w:tr>
      <w:tr w14:paraId="01F9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038E577C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（经营者）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8335F8A">
            <w:pPr>
              <w:widowControl w:val="0"/>
              <w:wordWrap/>
              <w:topLine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sym w:font="Wingdings 2" w:char="00A3"/>
            </w:r>
          </w:p>
        </w:tc>
      </w:tr>
    </w:tbl>
    <w:p w14:paraId="7526267F">
      <w:pPr>
        <w:widowControl/>
        <w:wordWrap w:val="0"/>
        <w:topLinePunct w:val="0"/>
        <w:spacing w:before="0" w:beforeAutospacing="0" w:after="0" w:afterAutospacing="0" w:line="360" w:lineRule="auto"/>
        <w:ind w:firstLine="440"/>
        <w:jc w:val="left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</w:p>
    <w:p w14:paraId="6A5C733A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附件2：</w:t>
      </w:r>
    </w:p>
    <w:p w14:paraId="35CD3A89">
      <w:pPr>
        <w:wordWrap w:val="0"/>
        <w:topLinePunct/>
        <w:spacing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法定代表人身份证明</w:t>
      </w:r>
    </w:p>
    <w:p w14:paraId="4D9CA5ED">
      <w:pPr>
        <w:wordWrap/>
        <w:topLinePunct/>
        <w:spacing w:line="360" w:lineRule="auto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1A8BCAB5">
      <w:pPr>
        <w:wordWrap/>
        <w:topLinePunct/>
        <w:spacing w:line="360" w:lineRule="auto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性别：</w:t>
      </w:r>
      <w:bookmarkStart w:id="29" w:name="_Toc369531698"/>
      <w:bookmarkStart w:id="30" w:name="_Toc352691662"/>
      <w:bookmarkStart w:id="31" w:name="_Toc27897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bookmarkEnd w:id="29"/>
      <w:bookmarkEnd w:id="30"/>
      <w:bookmarkEnd w:id="31"/>
      <w:r>
        <w:rPr>
          <w:rFonts w:hint="eastAsia" w:ascii="宋体" w:hAnsi="宋体" w:eastAsia="宋体" w:cs="宋体"/>
          <w:szCs w:val="21"/>
        </w:rPr>
        <w:t>龄</w:t>
      </w:r>
      <w:bookmarkStart w:id="32" w:name="_Toc15573"/>
      <w:bookmarkStart w:id="33" w:name="_Toc352691663"/>
      <w:bookmarkStart w:id="34" w:name="_Toc300835211"/>
      <w:bookmarkStart w:id="35" w:name="_Toc361508754"/>
      <w:bookmarkStart w:id="36" w:name="_Toc369531699"/>
      <w:bookmarkStart w:id="37" w:name="_Toc384308377"/>
      <w:r>
        <w:rPr>
          <w:rFonts w:hint="eastAsia" w:ascii="宋体" w:hAnsi="宋体" w:eastAsia="宋体" w:cs="宋体"/>
          <w:szCs w:val="21"/>
        </w:rPr>
        <w:t>：</w:t>
      </w:r>
      <w:bookmarkEnd w:id="32"/>
      <w:bookmarkEnd w:id="33"/>
      <w:bookmarkEnd w:id="34"/>
      <w:bookmarkEnd w:id="35"/>
      <w:bookmarkEnd w:id="36"/>
      <w:bookmarkEnd w:id="37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0198F128">
      <w:pPr>
        <w:wordWrap/>
        <w:topLinePunct/>
        <w:spacing w:line="360" w:lineRule="auto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名称）的</w:t>
      </w:r>
      <w:r>
        <w:rPr>
          <w:rFonts w:hint="eastAsia" w:ascii="宋体" w:hAnsi="宋体" w:eastAsia="宋体" w:cs="宋体"/>
          <w:szCs w:val="21"/>
          <w:lang w:eastAsia="zh-CN"/>
        </w:rPr>
        <w:t>法定代表人（经营者）</w:t>
      </w:r>
      <w:r>
        <w:rPr>
          <w:rFonts w:hint="eastAsia" w:ascii="宋体" w:hAnsi="宋体" w:eastAsia="宋体" w:cs="宋体"/>
          <w:szCs w:val="21"/>
        </w:rPr>
        <w:t>。</w:t>
      </w:r>
    </w:p>
    <w:p w14:paraId="281DB2EF">
      <w:pPr>
        <w:wordWrap/>
        <w:topLinePunct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709FF639">
      <w:pPr>
        <w:wordWrap/>
        <w:topLinePunct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</w:p>
    <w:p w14:paraId="502C1704">
      <w:pPr>
        <w:widowControl/>
        <w:wordWrap/>
        <w:topLinePunct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附：</w:t>
      </w:r>
      <w:r>
        <w:rPr>
          <w:rFonts w:hint="eastAsia" w:ascii="宋体" w:hAnsi="宋体" w:eastAsia="宋体" w:cs="宋体"/>
          <w:b/>
          <w:szCs w:val="21"/>
          <w:lang w:eastAsia="zh-CN"/>
        </w:rPr>
        <w:t>法定代表人（经营者）</w:t>
      </w:r>
      <w:r>
        <w:rPr>
          <w:rFonts w:hint="eastAsia" w:ascii="宋体" w:hAnsi="宋体" w:eastAsia="宋体" w:cs="宋体"/>
          <w:b/>
          <w:szCs w:val="21"/>
        </w:rPr>
        <w:t>身份证复印件或扫描件</w:t>
      </w:r>
    </w:p>
    <w:p w14:paraId="388E7EB9">
      <w:pPr>
        <w:wordWrap/>
        <w:topLinePunct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</w:p>
    <w:p w14:paraId="18C6774B">
      <w:pPr>
        <w:wordWrap/>
        <w:topLinePunct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</w:p>
    <w:p w14:paraId="6591F418">
      <w:pPr>
        <w:wordWrap/>
        <w:topLinePunct/>
        <w:spacing w:line="360" w:lineRule="auto"/>
        <w:ind w:firstLine="4200" w:firstLineChars="20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3B2E72B2">
      <w:pPr>
        <w:wordWrap/>
        <w:topLinePunct/>
        <w:spacing w:line="360" w:lineRule="auto"/>
        <w:ind w:firstLine="4515" w:firstLineChars="2150"/>
        <w:jc w:val="both"/>
        <w:rPr>
          <w:rFonts w:hint="eastAsia" w:ascii="宋体" w:hAnsi="宋体" w:eastAsia="宋体" w:cs="宋体"/>
          <w:szCs w:val="21"/>
          <w:u w:val="single"/>
        </w:rPr>
      </w:pPr>
    </w:p>
    <w:p w14:paraId="5273670B">
      <w:pPr>
        <w:wordWrap/>
        <w:topLinePunct/>
        <w:spacing w:line="360" w:lineRule="auto"/>
        <w:ind w:firstLine="4515" w:firstLineChars="215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 w14:paraId="567A26A7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3F4D07F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16AD7F69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0EB1190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77D8DC1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CE0C375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BB81C1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364D7D0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7E85519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90046F5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E16EA9A">
      <w:pPr>
        <w:wordWrap w:val="0"/>
        <w:topLinePunct/>
        <w:spacing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附件2：</w:t>
      </w:r>
    </w:p>
    <w:p w14:paraId="77625F03">
      <w:pPr>
        <w:wordWrap w:val="0"/>
        <w:topLinePunct/>
        <w:spacing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</w:t>
      </w:r>
    </w:p>
    <w:p w14:paraId="376BC2A6">
      <w:pPr>
        <w:wordWrap w:val="0"/>
        <w:topLinePunct/>
        <w:autoSpaceDE w:val="0"/>
        <w:autoSpaceDN w:val="0"/>
        <w:adjustRightInd w:val="0"/>
        <w:spacing w:line="200" w:lineRule="exact"/>
        <w:jc w:val="both"/>
        <w:rPr>
          <w:rFonts w:hint="eastAsia" w:ascii="宋体" w:hAnsi="宋体" w:eastAsia="宋体" w:cs="宋体"/>
          <w:kern w:val="0"/>
          <w:szCs w:val="21"/>
        </w:rPr>
      </w:pPr>
    </w:p>
    <w:p w14:paraId="02CB8D0A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名称）的</w:t>
      </w:r>
      <w:r>
        <w:rPr>
          <w:rFonts w:hint="eastAsia" w:ascii="宋体" w:hAnsi="宋体" w:eastAsia="宋体" w:cs="宋体"/>
          <w:szCs w:val="21"/>
          <w:lang w:eastAsia="zh-CN"/>
        </w:rPr>
        <w:t>法定代表人（经营者）</w:t>
      </w:r>
      <w:r>
        <w:rPr>
          <w:rFonts w:hint="eastAsia" w:ascii="宋体" w:hAnsi="宋体" w:eastAsia="宋体" w:cs="宋体"/>
          <w:szCs w:val="21"/>
        </w:rPr>
        <w:t>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（项目名称）领取</w:t>
      </w:r>
      <w:r>
        <w:rPr>
          <w:rFonts w:hint="eastAsia" w:ascii="宋体" w:hAnsi="宋体" w:eastAsia="宋体" w:cs="宋体"/>
          <w:szCs w:val="21"/>
          <w:lang w:val="en-US" w:eastAsia="zh-CN"/>
        </w:rPr>
        <w:t>磋商文件</w:t>
      </w:r>
      <w:r>
        <w:rPr>
          <w:rFonts w:hint="eastAsia" w:ascii="宋体" w:hAnsi="宋体" w:eastAsia="宋体" w:cs="宋体"/>
          <w:szCs w:val="21"/>
        </w:rPr>
        <w:t>和处理有关事宜，其法律后果由我方承担。</w:t>
      </w:r>
    </w:p>
    <w:p w14:paraId="3D7561F8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>自签署之日起     天</w:t>
      </w:r>
      <w:r>
        <w:rPr>
          <w:rFonts w:hint="eastAsia" w:ascii="宋体" w:hAnsi="宋体" w:eastAsia="宋体" w:cs="宋体"/>
          <w:szCs w:val="21"/>
        </w:rPr>
        <w:t>。</w:t>
      </w:r>
    </w:p>
    <w:p w14:paraId="58BEB225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5CD4CB62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</w:p>
    <w:p w14:paraId="13867C46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</w:t>
      </w:r>
      <w:r>
        <w:rPr>
          <w:rFonts w:hint="eastAsia" w:ascii="宋体" w:hAnsi="宋体" w:eastAsia="宋体" w:cs="宋体"/>
          <w:szCs w:val="21"/>
          <w:lang w:eastAsia="zh-CN"/>
        </w:rPr>
        <w:t>法定代表人（经营者）</w:t>
      </w:r>
      <w:r>
        <w:rPr>
          <w:rFonts w:hint="eastAsia" w:ascii="宋体" w:hAnsi="宋体" w:eastAsia="宋体" w:cs="宋体"/>
          <w:szCs w:val="21"/>
        </w:rPr>
        <w:t>身份证扫描件及委托代理人身份证扫描件</w:t>
      </w:r>
    </w:p>
    <w:p w14:paraId="01EA2BCC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</w:p>
    <w:p w14:paraId="3E323217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</w:p>
    <w:p w14:paraId="66D35565">
      <w:pPr>
        <w:wordWrap/>
        <w:topLinePunct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Cs w:val="21"/>
        </w:rPr>
      </w:pPr>
    </w:p>
    <w:p w14:paraId="1A1E5FED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投 标 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339DBD25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法定代表人（经营者）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71899FA9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2A5B4615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7C9A20C9">
      <w:pPr>
        <w:wordWrap/>
        <w:topLinePunct w:val="0"/>
        <w:spacing w:line="360" w:lineRule="auto"/>
        <w:ind w:left="2730" w:leftChars="1300" w:firstLine="420" w:firstLineChars="200"/>
        <w:jc w:val="both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5B542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C5685"/>
    <w:rsid w:val="2CB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widowControl w:val="0"/>
      <w:wordWrap w:val="0"/>
      <w:topLinePunct/>
      <w:jc w:val="both"/>
    </w:pPr>
    <w:rPr>
      <w:rFonts w:ascii="Cambria" w:hAnsi="Cambria" w:eastAsia="黑体" w:cs="宋体"/>
      <w:kern w:val="2"/>
      <w:sz w:val="20"/>
      <w:szCs w:val="20"/>
      <w:lang w:val="en-US" w:eastAsia="zh-CN" w:bidi="ar-SA"/>
    </w:rPr>
  </w:style>
  <w:style w:type="paragraph" w:customStyle="1" w:styleId="5">
    <w:name w:val="无间隔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2026-01-20T09:22:00Z</dcterms:created>
  <dc:creator>恒信咨询</dc:creator>
  <cp:lastModifiedBy>恒信咨询</cp:lastModifiedBy>
  <dcterms:modified xsi:type="dcterms:W3CDTF">2026-01-20T09:22:42Z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D79A41C9CF2E4DA4A5DC1B19B49214D7_11</vt:lpwstr>
  </property>
  <property fmtid="{D5CDD505-2E9C-101B-9397-08002B2CF9AE}" pid="4" name="KSOTemplateDocerSaveRecord">
    <vt:lpwstr>eyJoZGlkIjoiMDI1YTc0OGI1ZDViM2FkMzE0YTJjYWIwMDc5OWM1NTIiLCJ1c2VySWQiOiIyMzk1NDQwNzUifQ==</vt:lpwstr>
  </property>
</Properties>
</file>