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6284">
      <w:pPr>
        <w:keepNext/>
        <w:keepLines/>
        <w:widowControl w:val="0"/>
        <w:spacing w:line="360" w:lineRule="auto"/>
        <w:jc w:val="center"/>
        <w:outlineLvl w:val="0"/>
        <w:rPr>
          <w:rFonts w:hint="eastAsia" w:ascii="Times New Roman" w:hAnsi="Times New Roman" w:eastAsia="宋体" w:cs="Times New Roman"/>
          <w:b/>
          <w:color w:val="auto"/>
          <w:kern w:val="44"/>
          <w:sz w:val="32"/>
          <w:szCs w:val="22"/>
          <w:highlight w:val="none"/>
          <w:lang w:val="en-US" w:eastAsia="zh-CN" w:bidi="ar-SA"/>
        </w:rPr>
      </w:pPr>
      <w:bookmarkStart w:id="1" w:name="_GoBack"/>
      <w:bookmarkEnd w:id="1"/>
      <w:bookmarkStart w:id="0" w:name="_Toc22487"/>
      <w:r>
        <w:rPr>
          <w:rFonts w:hint="eastAsia" w:ascii="Times New Roman" w:hAnsi="Times New Roman" w:eastAsia="宋体" w:cs="宋体"/>
          <w:b/>
          <w:color w:val="auto"/>
          <w:kern w:val="44"/>
          <w:sz w:val="32"/>
          <w:szCs w:val="22"/>
          <w:highlight w:val="none"/>
          <w:lang w:val="en-US" w:eastAsia="zh-CN" w:bidi="ar-SA"/>
        </w:rPr>
        <w:t>采购需求</w:t>
      </w:r>
      <w:bookmarkEnd w:id="0"/>
    </w:p>
    <w:p w14:paraId="1F4A8E30">
      <w:pPr>
        <w:spacing w:line="360" w:lineRule="auto"/>
        <w:ind w:firstLine="422" w:firstLineChars="200"/>
        <w:rPr>
          <w:rFonts w:hint="eastAsia"/>
          <w:b/>
          <w:bCs/>
          <w:color w:val="auto"/>
          <w:highlight w:val="none"/>
        </w:rPr>
      </w:pPr>
      <w:r>
        <w:rPr>
          <w:rFonts w:hint="eastAsia" w:ascii="宋体" w:eastAsia="宋体"/>
          <w:b/>
          <w:bCs/>
          <w:color w:val="auto"/>
          <w:highlight w:val="none"/>
          <w:lang w:val="en-US" w:eastAsia="zh-CN"/>
        </w:rPr>
        <w:t>一、</w:t>
      </w:r>
      <w:r>
        <w:rPr>
          <w:rFonts w:hint="eastAsia"/>
          <w:b/>
          <w:bCs/>
          <w:color w:val="auto"/>
          <w:highlight w:val="none"/>
        </w:rPr>
        <w:t>总体工作要求</w:t>
      </w:r>
    </w:p>
    <w:p w14:paraId="47F860EB">
      <w:pPr>
        <w:spacing w:line="360" w:lineRule="auto"/>
        <w:ind w:firstLine="420" w:firstLineChars="200"/>
        <w:rPr>
          <w:rFonts w:hint="eastAsia"/>
          <w:color w:val="auto"/>
          <w:highlight w:val="none"/>
        </w:rPr>
      </w:pPr>
      <w:r>
        <w:rPr>
          <w:rFonts w:hint="eastAsia"/>
          <w:color w:val="auto"/>
          <w:highlight w:val="none"/>
        </w:rPr>
        <w:t>（1）根据合同要求，开展法律咨询服务工作，服务工作内容包括但不仅限于：①服务对象：郑东新区管委会及内设局（办）单位、直属事业单位，不含乡（镇）办事处。②为服务对象的重大行政决策及时准确地提供专家论证、风险评估和合法性审查意见、建议和法律服务，对决策实施过程中可能遇到的风险作出预测，从法律角度提出避免或减少风险的措施；③就服务对象日常业务中出现的有关法律问题，提供咨询、论证等专项法律意见或出具法律意见书，应邀参加讨论会议，并提出解决办法。④参与服务对象重大项目的洽谈以及其他重大经济活动中的法律事务，协助起草、修改、审查合同、协议及其他重要法律文书</w:t>
      </w:r>
      <w:r>
        <w:rPr>
          <w:rFonts w:hint="eastAsia" w:eastAsia="宋体"/>
          <w:color w:val="auto"/>
          <w:highlight w:val="none"/>
          <w:lang w:eastAsia="zh-CN"/>
        </w:rPr>
        <w:t>，</w:t>
      </w:r>
      <w:r>
        <w:rPr>
          <w:rFonts w:hint="eastAsia"/>
          <w:color w:val="auto"/>
          <w:highlight w:val="none"/>
        </w:rPr>
        <w:t>提出切实可行的法律意见或建议，避免法律风险及诉讼隐患。⑤为郑州市政府赋权郑东新区管委会后的依法行政、行政执法提供法律服务。⑥为服务对象出台的规范性文件的合法性审查提供法律咨询、论证意见。⑦参与处理服务对象突发性、群体性事件的涉法事务。⑧根据服务对象的需要，协助进行法制宣传教育和法律培训及普法讲座活动，积极参与服务对象组织的公益活动。⑨每季度结束后10日内，总结作为政府法律顾问的工作经验教训，为甲方提出依法行政方面有价值的意见建议，防范法律风险，预防各类纠纷的发生。⑩代理服务对象为当事人一方的民事诉讼仲裁、行政诉讼、行政复议和行政赔偿案件。⑪专项法律服务工作。⑫甲方交办的其他与律师业务有关的工作。</w:t>
      </w:r>
    </w:p>
    <w:p w14:paraId="71043509">
      <w:pPr>
        <w:spacing w:line="360" w:lineRule="auto"/>
        <w:ind w:firstLine="420" w:firstLineChars="200"/>
        <w:rPr>
          <w:rFonts w:hint="eastAsia"/>
          <w:color w:val="auto"/>
          <w:highlight w:val="none"/>
        </w:rPr>
      </w:pPr>
      <w:r>
        <w:rPr>
          <w:rFonts w:hint="eastAsia"/>
          <w:color w:val="auto"/>
          <w:highlight w:val="none"/>
        </w:rPr>
        <w:t>（2）按照法律法规，结合实际，制定内部管理规章制度。</w:t>
      </w:r>
    </w:p>
    <w:p w14:paraId="7FFD8E1E">
      <w:pPr>
        <w:spacing w:line="360" w:lineRule="auto"/>
        <w:ind w:firstLine="420" w:firstLineChars="200"/>
        <w:rPr>
          <w:rFonts w:hint="eastAsia"/>
          <w:color w:val="auto"/>
          <w:highlight w:val="none"/>
        </w:rPr>
      </w:pPr>
      <w:r>
        <w:rPr>
          <w:rFonts w:hint="eastAsia"/>
          <w:color w:val="auto"/>
          <w:highlight w:val="none"/>
        </w:rPr>
        <w:t>（3）遵守社会组织管理法规和合同规定的要求，确保完成服务目标，并承担相应责任，自觉接受甲方的检查监督。</w:t>
      </w:r>
    </w:p>
    <w:p w14:paraId="7418877F">
      <w:pPr>
        <w:spacing w:line="360" w:lineRule="auto"/>
        <w:ind w:firstLine="420" w:firstLineChars="200"/>
        <w:rPr>
          <w:rFonts w:hint="eastAsia"/>
          <w:color w:val="auto"/>
          <w:highlight w:val="none"/>
        </w:rPr>
      </w:pPr>
      <w:r>
        <w:rPr>
          <w:rFonts w:hint="eastAsia"/>
          <w:color w:val="auto"/>
          <w:highlight w:val="none"/>
        </w:rPr>
        <w:t>（4）在合同终止后向甲方移交全部提供使用的专用房屋、有关财产、管理档案及有关工作服务对象的所有资料。</w:t>
      </w:r>
    </w:p>
    <w:p w14:paraId="021F22AB">
      <w:pPr>
        <w:spacing w:line="360" w:lineRule="auto"/>
        <w:ind w:firstLine="420" w:firstLineChars="200"/>
        <w:rPr>
          <w:rFonts w:hint="eastAsia"/>
          <w:color w:val="auto"/>
          <w:highlight w:val="none"/>
        </w:rPr>
      </w:pPr>
      <w:r>
        <w:rPr>
          <w:rFonts w:hint="eastAsia"/>
          <w:color w:val="auto"/>
          <w:highlight w:val="none"/>
        </w:rPr>
        <w:t>（5）接受甲方的监督、年度评估、法律咨询服务工作上重大事项的调查和纠纷处理。</w:t>
      </w:r>
    </w:p>
    <w:p w14:paraId="25852F67">
      <w:pPr>
        <w:spacing w:line="360" w:lineRule="auto"/>
        <w:ind w:firstLine="420" w:firstLineChars="200"/>
        <w:rPr>
          <w:rFonts w:hint="eastAsia"/>
          <w:color w:val="auto"/>
          <w:highlight w:val="none"/>
        </w:rPr>
      </w:pPr>
      <w:r>
        <w:rPr>
          <w:rFonts w:hint="eastAsia"/>
          <w:color w:val="auto"/>
          <w:highlight w:val="none"/>
        </w:rPr>
        <w:t>（6）落实考评小组在考核评估中提出的问题和建议。</w:t>
      </w:r>
    </w:p>
    <w:p w14:paraId="6EBA52BD">
      <w:pPr>
        <w:spacing w:line="360" w:lineRule="auto"/>
        <w:ind w:firstLine="420" w:firstLineChars="200"/>
        <w:rPr>
          <w:rFonts w:hint="eastAsia"/>
          <w:color w:val="auto"/>
          <w:highlight w:val="none"/>
        </w:rPr>
      </w:pPr>
      <w:r>
        <w:rPr>
          <w:rFonts w:hint="eastAsia"/>
          <w:color w:val="auto"/>
          <w:highlight w:val="none"/>
        </w:rPr>
        <w:t>（7）应在约定的服务区域内开展服务，认真完成服务项目内容。若因实际需要而修正服务内容的，需经与甲方协商，并获审核批准后实施。</w:t>
      </w:r>
    </w:p>
    <w:p w14:paraId="42BF45E8">
      <w:pPr>
        <w:spacing w:line="360" w:lineRule="auto"/>
        <w:ind w:firstLine="420" w:firstLineChars="200"/>
        <w:rPr>
          <w:rFonts w:hint="eastAsia"/>
          <w:color w:val="auto"/>
          <w:highlight w:val="none"/>
        </w:rPr>
      </w:pPr>
      <w:r>
        <w:rPr>
          <w:rFonts w:hint="eastAsia"/>
          <w:color w:val="auto"/>
          <w:highlight w:val="none"/>
        </w:rPr>
        <w:t>（8）不得泄露在工作中获悉的涉及工作服务对象个人隐私、涉及国家秘密等的相关信息。</w:t>
      </w:r>
    </w:p>
    <w:p w14:paraId="26C9D993">
      <w:pPr>
        <w:spacing w:line="360" w:lineRule="auto"/>
        <w:ind w:firstLine="420" w:firstLineChars="200"/>
        <w:rPr>
          <w:rFonts w:hint="eastAsia"/>
          <w:color w:val="auto"/>
          <w:highlight w:val="none"/>
        </w:rPr>
      </w:pPr>
      <w:r>
        <w:rPr>
          <w:rFonts w:hint="eastAsia"/>
          <w:color w:val="auto"/>
          <w:highlight w:val="none"/>
        </w:rPr>
        <w:t xml:space="preserve">（9）加强自身建设，完善管理机制，提升专业化服务水平。   </w:t>
      </w:r>
    </w:p>
    <w:p w14:paraId="754A4777">
      <w:pPr>
        <w:spacing w:line="360" w:lineRule="auto"/>
        <w:ind w:firstLine="420" w:firstLineChars="200"/>
        <w:rPr>
          <w:rFonts w:hint="eastAsia"/>
          <w:color w:val="auto"/>
          <w:highlight w:val="none"/>
        </w:rPr>
        <w:sectPr>
          <w:pgSz w:w="11906" w:h="16838"/>
          <w:pgMar w:top="1417" w:right="1417" w:bottom="1417" w:left="1417" w:header="777" w:footer="641" w:gutter="0"/>
          <w:cols w:space="720" w:num="1"/>
        </w:sectPr>
      </w:pPr>
      <w:r>
        <w:rPr>
          <w:rFonts w:hint="eastAsia"/>
          <w:color w:val="auto"/>
          <w:highlight w:val="none"/>
        </w:rPr>
        <w:t>（10）接受单个案件代理费最高额限定和年度服务费用限额要求。</w:t>
      </w:r>
    </w:p>
    <w:p w14:paraId="6484EB4F">
      <w:pPr>
        <w:spacing w:line="360" w:lineRule="auto"/>
        <w:ind w:firstLine="422" w:firstLineChars="200"/>
        <w:rPr>
          <w:rFonts w:hint="eastAsia"/>
          <w:b/>
          <w:bCs/>
          <w:color w:val="auto"/>
          <w:highlight w:val="none"/>
        </w:rPr>
      </w:pPr>
      <w:r>
        <w:rPr>
          <w:rFonts w:hint="eastAsia" w:ascii="宋体" w:eastAsia="宋体"/>
          <w:b/>
          <w:bCs/>
          <w:color w:val="auto"/>
          <w:highlight w:val="none"/>
          <w:lang w:val="en-US" w:eastAsia="zh-CN"/>
        </w:rPr>
        <w:t>二、</w:t>
      </w:r>
      <w:r>
        <w:rPr>
          <w:rFonts w:hint="eastAsia"/>
          <w:b/>
          <w:bCs/>
          <w:color w:val="auto"/>
          <w:highlight w:val="none"/>
        </w:rPr>
        <w:t>主要服务内容及服务费支付标准</w:t>
      </w:r>
    </w:p>
    <w:tbl>
      <w:tblPr>
        <w:tblStyle w:val="5"/>
        <w:tblW w:w="13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392"/>
        <w:gridCol w:w="2602"/>
        <w:gridCol w:w="1904"/>
        <w:gridCol w:w="1107"/>
        <w:gridCol w:w="3333"/>
        <w:gridCol w:w="1100"/>
        <w:gridCol w:w="1405"/>
      </w:tblGrid>
      <w:tr w14:paraId="5515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99" w:type="dxa"/>
            <w:noWrap w:val="0"/>
            <w:vAlign w:val="center"/>
          </w:tcPr>
          <w:p w14:paraId="69AA2D23">
            <w:pPr>
              <w:jc w:val="center"/>
              <w:rPr>
                <w:color w:val="auto"/>
                <w:sz w:val="18"/>
                <w:szCs w:val="18"/>
                <w:highlight w:val="none"/>
              </w:rPr>
            </w:pPr>
            <w:r>
              <w:rPr>
                <w:rFonts w:hint="eastAsia"/>
                <w:color w:val="auto"/>
                <w:sz w:val="18"/>
                <w:szCs w:val="18"/>
                <w:highlight w:val="none"/>
              </w:rPr>
              <w:t>序号</w:t>
            </w:r>
          </w:p>
        </w:tc>
        <w:tc>
          <w:tcPr>
            <w:tcW w:w="3994" w:type="dxa"/>
            <w:gridSpan w:val="2"/>
            <w:noWrap w:val="0"/>
            <w:vAlign w:val="center"/>
          </w:tcPr>
          <w:p w14:paraId="7AA0115F">
            <w:pPr>
              <w:jc w:val="center"/>
              <w:rPr>
                <w:color w:val="auto"/>
                <w:sz w:val="18"/>
                <w:szCs w:val="18"/>
                <w:highlight w:val="none"/>
              </w:rPr>
            </w:pPr>
            <w:r>
              <w:rPr>
                <w:rFonts w:hint="eastAsia"/>
                <w:color w:val="auto"/>
                <w:sz w:val="18"/>
                <w:szCs w:val="18"/>
                <w:highlight w:val="none"/>
              </w:rPr>
              <w:t>服务内容</w:t>
            </w:r>
          </w:p>
        </w:tc>
        <w:tc>
          <w:tcPr>
            <w:tcW w:w="3011" w:type="dxa"/>
            <w:gridSpan w:val="2"/>
            <w:noWrap w:val="0"/>
            <w:vAlign w:val="center"/>
          </w:tcPr>
          <w:p w14:paraId="7425A393">
            <w:pPr>
              <w:jc w:val="center"/>
              <w:rPr>
                <w:color w:val="auto"/>
                <w:sz w:val="18"/>
                <w:szCs w:val="18"/>
                <w:highlight w:val="none"/>
              </w:rPr>
            </w:pPr>
            <w:r>
              <w:rPr>
                <w:rFonts w:hint="eastAsia"/>
                <w:color w:val="auto"/>
                <w:sz w:val="18"/>
                <w:szCs w:val="18"/>
                <w:highlight w:val="none"/>
              </w:rPr>
              <w:t>服务费支付标准</w:t>
            </w:r>
            <w:r>
              <w:rPr>
                <w:rFonts w:hint="eastAsia"/>
                <w:color w:val="auto"/>
                <w:sz w:val="18"/>
                <w:szCs w:val="18"/>
                <w:highlight w:val="none"/>
              </w:rPr>
              <w:br w:type="textWrapping"/>
            </w:r>
            <w:r>
              <w:rPr>
                <w:rFonts w:hint="eastAsia"/>
                <w:color w:val="auto"/>
                <w:sz w:val="18"/>
                <w:szCs w:val="18"/>
                <w:highlight w:val="none"/>
              </w:rPr>
              <w:t>（人民币元）</w:t>
            </w:r>
          </w:p>
        </w:tc>
        <w:tc>
          <w:tcPr>
            <w:tcW w:w="3333" w:type="dxa"/>
            <w:noWrap w:val="0"/>
            <w:vAlign w:val="center"/>
          </w:tcPr>
          <w:p w14:paraId="090F92F9">
            <w:pPr>
              <w:jc w:val="center"/>
              <w:rPr>
                <w:color w:val="auto"/>
                <w:sz w:val="18"/>
                <w:szCs w:val="18"/>
                <w:highlight w:val="none"/>
              </w:rPr>
            </w:pPr>
            <w:r>
              <w:rPr>
                <w:rFonts w:hint="eastAsia"/>
                <w:color w:val="auto"/>
                <w:sz w:val="18"/>
                <w:szCs w:val="18"/>
                <w:highlight w:val="none"/>
              </w:rPr>
              <w:t>服务划分标准及要求</w:t>
            </w:r>
          </w:p>
        </w:tc>
        <w:tc>
          <w:tcPr>
            <w:tcW w:w="1100" w:type="dxa"/>
            <w:noWrap w:val="0"/>
            <w:vAlign w:val="center"/>
          </w:tcPr>
          <w:p w14:paraId="1D799AA7">
            <w:pPr>
              <w:jc w:val="center"/>
              <w:rPr>
                <w:color w:val="auto"/>
                <w:sz w:val="18"/>
                <w:szCs w:val="18"/>
                <w:highlight w:val="none"/>
              </w:rPr>
            </w:pPr>
            <w:r>
              <w:rPr>
                <w:rFonts w:hint="eastAsia"/>
                <w:color w:val="auto"/>
                <w:sz w:val="18"/>
                <w:szCs w:val="18"/>
                <w:highlight w:val="none"/>
              </w:rPr>
              <w:t>备注</w:t>
            </w:r>
          </w:p>
        </w:tc>
        <w:tc>
          <w:tcPr>
            <w:tcW w:w="1405" w:type="dxa"/>
            <w:noWrap w:val="0"/>
            <w:vAlign w:val="center"/>
          </w:tcPr>
          <w:p w14:paraId="41358AC6">
            <w:pPr>
              <w:jc w:val="center"/>
              <w:rPr>
                <w:rFonts w:hint="default" w:eastAsia="宋体"/>
                <w:color w:val="auto"/>
                <w:sz w:val="18"/>
                <w:szCs w:val="18"/>
                <w:highlight w:val="none"/>
                <w:lang w:val="en-US" w:eastAsia="zh-CN"/>
              </w:rPr>
            </w:pPr>
            <w:r>
              <w:rPr>
                <w:rFonts w:hint="eastAsia" w:ascii="宋体" w:eastAsia="宋体"/>
                <w:color w:val="auto"/>
                <w:sz w:val="18"/>
                <w:szCs w:val="18"/>
                <w:highlight w:val="none"/>
                <w:lang w:val="en-US" w:eastAsia="zh-CN"/>
              </w:rPr>
              <w:t>工作量预估</w:t>
            </w:r>
          </w:p>
        </w:tc>
      </w:tr>
      <w:tr w14:paraId="3D13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9" w:type="dxa"/>
            <w:vMerge w:val="restart"/>
            <w:noWrap w:val="0"/>
            <w:vAlign w:val="center"/>
          </w:tcPr>
          <w:p w14:paraId="63924A00">
            <w:pPr>
              <w:jc w:val="center"/>
              <w:rPr>
                <w:color w:val="auto"/>
                <w:sz w:val="18"/>
                <w:szCs w:val="18"/>
                <w:highlight w:val="none"/>
              </w:rPr>
            </w:pPr>
            <w:r>
              <w:rPr>
                <w:rFonts w:hint="eastAsia"/>
                <w:color w:val="auto"/>
                <w:sz w:val="18"/>
                <w:szCs w:val="18"/>
                <w:highlight w:val="none"/>
              </w:rPr>
              <w:t>1</w:t>
            </w:r>
          </w:p>
        </w:tc>
        <w:tc>
          <w:tcPr>
            <w:tcW w:w="1392" w:type="dxa"/>
            <w:vMerge w:val="restart"/>
            <w:noWrap w:val="0"/>
            <w:vAlign w:val="center"/>
          </w:tcPr>
          <w:p w14:paraId="1B41BB8E">
            <w:pPr>
              <w:jc w:val="center"/>
              <w:rPr>
                <w:rFonts w:hint="eastAsia"/>
                <w:color w:val="auto"/>
                <w:sz w:val="18"/>
                <w:szCs w:val="18"/>
                <w:highlight w:val="none"/>
              </w:rPr>
            </w:pPr>
            <w:r>
              <w:rPr>
                <w:rFonts w:hint="eastAsia"/>
                <w:color w:val="auto"/>
                <w:sz w:val="18"/>
                <w:szCs w:val="18"/>
                <w:highlight w:val="none"/>
              </w:rPr>
              <w:t>专业法律服务</w:t>
            </w:r>
          </w:p>
        </w:tc>
        <w:tc>
          <w:tcPr>
            <w:tcW w:w="2602" w:type="dxa"/>
            <w:noWrap w:val="0"/>
            <w:vAlign w:val="center"/>
          </w:tcPr>
          <w:p w14:paraId="0462DF69">
            <w:pPr>
              <w:jc w:val="center"/>
              <w:rPr>
                <w:rFonts w:hint="eastAsia" w:eastAsia="宋体"/>
                <w:color w:val="auto"/>
                <w:sz w:val="18"/>
                <w:szCs w:val="18"/>
                <w:highlight w:val="none"/>
              </w:rPr>
            </w:pPr>
            <w:r>
              <w:rPr>
                <w:rFonts w:hint="eastAsia" w:eastAsia="宋体"/>
                <w:color w:val="auto"/>
                <w:sz w:val="18"/>
                <w:szCs w:val="18"/>
                <w:highlight w:val="none"/>
                <w:lang w:val="en-US" w:eastAsia="zh-CN"/>
              </w:rPr>
              <w:t>合同审核</w:t>
            </w:r>
          </w:p>
        </w:tc>
        <w:tc>
          <w:tcPr>
            <w:tcW w:w="3011" w:type="dxa"/>
            <w:gridSpan w:val="2"/>
            <w:vMerge w:val="restart"/>
            <w:noWrap w:val="0"/>
            <w:vAlign w:val="center"/>
          </w:tcPr>
          <w:p w14:paraId="385DA204">
            <w:pPr>
              <w:jc w:val="center"/>
              <w:rPr>
                <w:rFonts w:hint="eastAsia" w:eastAsia="宋体"/>
                <w:color w:val="auto"/>
                <w:sz w:val="18"/>
                <w:szCs w:val="18"/>
                <w:highlight w:val="none"/>
                <w:lang w:eastAsia="zh-CN"/>
              </w:rPr>
            </w:pPr>
            <w:r>
              <w:rPr>
                <w:rFonts w:hint="eastAsia"/>
                <w:color w:val="auto"/>
                <w:sz w:val="18"/>
                <w:szCs w:val="18"/>
                <w:highlight w:val="none"/>
              </w:rPr>
              <w:t>基础服务费用</w:t>
            </w:r>
            <w:r>
              <w:rPr>
                <w:rFonts w:hint="eastAsia" w:ascii="宋体" w:eastAsia="宋体"/>
                <w:color w:val="auto"/>
                <w:sz w:val="18"/>
                <w:szCs w:val="18"/>
                <w:highlight w:val="none"/>
                <w:lang w:val="en-US" w:eastAsia="zh-CN"/>
              </w:rPr>
              <w:t>9</w:t>
            </w:r>
            <w:r>
              <w:rPr>
                <w:rFonts w:hint="eastAsia"/>
                <w:color w:val="auto"/>
                <w:sz w:val="18"/>
                <w:szCs w:val="18"/>
                <w:highlight w:val="none"/>
              </w:rPr>
              <w:t>万元/年</w:t>
            </w:r>
            <w:r>
              <w:rPr>
                <w:rFonts w:hint="eastAsia" w:eastAsia="宋体"/>
                <w:color w:val="auto"/>
                <w:sz w:val="18"/>
                <w:szCs w:val="18"/>
                <w:highlight w:val="none"/>
                <w:lang w:eastAsia="zh-CN"/>
              </w:rPr>
              <w:t>，</w:t>
            </w:r>
          </w:p>
          <w:p w14:paraId="160614C2">
            <w:pPr>
              <w:jc w:val="center"/>
              <w:rPr>
                <w:rFonts w:hint="eastAsia"/>
                <w:color w:val="auto"/>
                <w:sz w:val="18"/>
                <w:szCs w:val="18"/>
                <w:highlight w:val="none"/>
              </w:rPr>
            </w:pPr>
          </w:p>
          <w:p w14:paraId="29ACFF19">
            <w:pPr>
              <w:jc w:val="center"/>
              <w:rPr>
                <w:rFonts w:hint="eastAsia" w:eastAsia="宋体"/>
                <w:color w:val="auto"/>
                <w:sz w:val="18"/>
                <w:szCs w:val="18"/>
                <w:highlight w:val="none"/>
                <w:lang w:eastAsia="zh-CN"/>
              </w:rPr>
            </w:pPr>
            <w:r>
              <w:rPr>
                <w:rFonts w:hint="eastAsia"/>
                <w:color w:val="auto"/>
                <w:sz w:val="18"/>
                <w:szCs w:val="18"/>
                <w:highlight w:val="none"/>
              </w:rPr>
              <w:t>绩效考核</w:t>
            </w:r>
            <w:r>
              <w:rPr>
                <w:rFonts w:hint="eastAsia" w:ascii="宋体" w:eastAsia="宋体"/>
                <w:color w:val="auto"/>
                <w:sz w:val="18"/>
                <w:szCs w:val="18"/>
                <w:highlight w:val="none"/>
                <w:lang w:val="en-US" w:eastAsia="zh-CN"/>
              </w:rPr>
              <w:t>1</w:t>
            </w:r>
            <w:r>
              <w:rPr>
                <w:rFonts w:hint="eastAsia"/>
                <w:color w:val="auto"/>
                <w:sz w:val="18"/>
                <w:szCs w:val="18"/>
                <w:highlight w:val="none"/>
              </w:rPr>
              <w:t>万元/年</w:t>
            </w:r>
            <w:r>
              <w:rPr>
                <w:rFonts w:hint="eastAsia" w:eastAsia="宋体"/>
                <w:color w:val="auto"/>
                <w:sz w:val="18"/>
                <w:szCs w:val="18"/>
                <w:highlight w:val="none"/>
                <w:lang w:eastAsia="zh-CN"/>
              </w:rPr>
              <w:t>。</w:t>
            </w:r>
          </w:p>
        </w:tc>
        <w:tc>
          <w:tcPr>
            <w:tcW w:w="3333" w:type="dxa"/>
            <w:vMerge w:val="restart"/>
            <w:noWrap w:val="0"/>
            <w:vAlign w:val="center"/>
          </w:tcPr>
          <w:p w14:paraId="0DA26F87">
            <w:pPr>
              <w:jc w:val="left"/>
              <w:rPr>
                <w:rFonts w:hint="default" w:eastAsia="宋体"/>
                <w:color w:val="auto"/>
                <w:sz w:val="18"/>
                <w:szCs w:val="18"/>
                <w:highlight w:val="none"/>
                <w:lang w:val="en-US" w:eastAsia="zh-CN"/>
              </w:rPr>
            </w:pPr>
            <w:r>
              <w:rPr>
                <w:rFonts w:hint="eastAsia"/>
                <w:color w:val="auto"/>
                <w:sz w:val="18"/>
                <w:szCs w:val="18"/>
                <w:highlight w:val="none"/>
              </w:rPr>
              <w:t>1.为服务对象的重大行政决策及时准确地提供专家论证、风险评估和合法性审查意见、建议和法律服务，对决策实施过程中可能遇到的风险作出预测，从法律角度提出避免或减少风险的措施；2.就服务对象日常业务中出现的有关法律问题，提供咨询、论证等专项法律意见或出具法律意见书，应邀参加讨论会议，并提出解决办法。3.参与服务对象重大项目的洽谈以及其他重大经济活动中的法律事务，协助起草、修改、审查合同、协议及其他重要法律文书</w:t>
            </w:r>
            <w:r>
              <w:rPr>
                <w:rFonts w:hint="eastAsia" w:eastAsia="宋体"/>
                <w:color w:val="auto"/>
                <w:sz w:val="18"/>
                <w:szCs w:val="18"/>
                <w:highlight w:val="none"/>
                <w:lang w:eastAsia="zh-CN"/>
              </w:rPr>
              <w:t>，</w:t>
            </w:r>
            <w:r>
              <w:rPr>
                <w:rFonts w:hint="eastAsia"/>
                <w:color w:val="auto"/>
                <w:sz w:val="18"/>
                <w:szCs w:val="18"/>
                <w:highlight w:val="none"/>
              </w:rPr>
              <w:t>提出切实可行的法律意见或建议，避免法律风险及诉讼隐患。4.为服务对象出台的规范性文件的合法性审查提供法律咨询、论证意见。5.参与处理服务对象突发性、群体性事件的涉法事务。6.根据服务对象的需要，协助进行法制宣传教育和法律培训及普法讲座活动，积极参与服务对象组织的公益活动。7.每季度结束后10日内，总结作为政府法律顾问的工作经验教训，为甲方提出依法行政方面有价值的意见建议，防范法律风险，预防各类纠纷的发生。8.派驻采购人现场不少于1人（持有律师执业证）参与管委会、政法委日常工作。</w:t>
            </w:r>
            <w:r>
              <w:rPr>
                <w:rFonts w:hint="eastAsia" w:ascii="宋体" w:eastAsia="宋体"/>
                <w:color w:val="auto"/>
                <w:sz w:val="18"/>
                <w:szCs w:val="18"/>
                <w:highlight w:val="none"/>
                <w:lang w:val="en-US" w:eastAsia="zh-CN"/>
              </w:rPr>
              <w:t>9.采购人交办的其他与律师业务有关的工作。</w:t>
            </w:r>
          </w:p>
        </w:tc>
        <w:tc>
          <w:tcPr>
            <w:tcW w:w="1100" w:type="dxa"/>
            <w:vMerge w:val="restart"/>
            <w:noWrap w:val="0"/>
            <w:vAlign w:val="center"/>
          </w:tcPr>
          <w:p w14:paraId="72460B46">
            <w:pPr>
              <w:jc w:val="center"/>
              <w:rPr>
                <w:rFonts w:hint="default" w:eastAsia="宋体"/>
                <w:color w:val="auto"/>
                <w:sz w:val="18"/>
                <w:szCs w:val="18"/>
                <w:highlight w:val="none"/>
                <w:lang w:val="en-US" w:eastAsia="zh-CN"/>
              </w:rPr>
            </w:pPr>
            <w:r>
              <w:rPr>
                <w:rFonts w:hint="eastAsia" w:ascii="宋体" w:eastAsia="宋体"/>
                <w:color w:val="auto"/>
                <w:sz w:val="18"/>
                <w:szCs w:val="18"/>
                <w:highlight w:val="none"/>
                <w:lang w:val="en-US" w:eastAsia="zh-CN"/>
              </w:rPr>
              <w:t>满足采购人要求</w:t>
            </w:r>
          </w:p>
        </w:tc>
        <w:tc>
          <w:tcPr>
            <w:tcW w:w="1405" w:type="dxa"/>
            <w:vMerge w:val="restart"/>
            <w:noWrap w:val="0"/>
            <w:vAlign w:val="center"/>
          </w:tcPr>
          <w:p w14:paraId="41D3EE05">
            <w:pPr>
              <w:numPr>
                <w:ilvl w:val="0"/>
                <w:numId w:val="1"/>
              </w:num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合同审核：1200份/年</w:t>
            </w:r>
          </w:p>
          <w:p w14:paraId="7940EEA6">
            <w:pPr>
              <w:numPr>
                <w:ilvl w:val="0"/>
                <w:numId w:val="1"/>
              </w:numPr>
              <w:bidi w:val="0"/>
              <w:ind w:left="0" w:leftChars="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行政复议案件：</w:t>
            </w:r>
            <w:r>
              <w:rPr>
                <w:rFonts w:hint="eastAsia" w:eastAsia="宋体" w:cs="宋体"/>
                <w:color w:val="auto"/>
                <w:sz w:val="18"/>
                <w:szCs w:val="18"/>
                <w:highlight w:val="none"/>
                <w:lang w:val="en-US" w:eastAsia="zh-CN"/>
              </w:rPr>
              <w:t>8</w:t>
            </w:r>
            <w:r>
              <w:rPr>
                <w:rFonts w:hint="eastAsia" w:ascii="宋体" w:hAnsi="宋体" w:eastAsia="宋体" w:cs="宋体"/>
                <w:color w:val="auto"/>
                <w:sz w:val="18"/>
                <w:szCs w:val="18"/>
                <w:highlight w:val="none"/>
                <w:lang w:val="en-US" w:eastAsia="zh-CN"/>
              </w:rPr>
              <w:t>00件/年</w:t>
            </w:r>
          </w:p>
          <w:p w14:paraId="6646396D">
            <w:pPr>
              <w:widowControl w:val="0"/>
              <w:numPr>
                <w:ilvl w:val="0"/>
                <w:numId w:val="1"/>
              </w:numPr>
              <w:spacing w:after="120"/>
              <w:ind w:left="0" w:leftChars="0" w:firstLine="0" w:firstLineChars="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参与案件研讨会：50场/年</w:t>
            </w:r>
          </w:p>
          <w:p w14:paraId="52D7AEDE">
            <w:pPr>
              <w:numPr>
                <w:ilvl w:val="0"/>
                <w:numId w:val="1"/>
              </w:numPr>
              <w:ind w:left="0" w:leftChars="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执法案件备案审查：30件/年</w:t>
            </w:r>
          </w:p>
          <w:p w14:paraId="7604A767">
            <w:pPr>
              <w:widowControl w:val="0"/>
              <w:numPr>
                <w:ilvl w:val="0"/>
                <w:numId w:val="1"/>
              </w:numPr>
              <w:spacing w:after="120"/>
              <w:ind w:left="0" w:leftChars="0" w:firstLine="0" w:firstLineChars="0"/>
              <w:jc w:val="both"/>
              <w:rPr>
                <w:rFonts w:hint="default" w:ascii="Times New Roman" w:hAnsi="Times New Roman" w:eastAsia="楷体_GB2312" w:cs="Times New Roman"/>
                <w:color w:val="auto"/>
                <w:kern w:val="2"/>
                <w:sz w:val="32"/>
                <w:szCs w:val="20"/>
                <w:highlight w:val="none"/>
                <w:lang w:val="en-US" w:eastAsia="zh-CN" w:bidi="ar-SA"/>
              </w:rPr>
            </w:pPr>
            <w:r>
              <w:rPr>
                <w:rFonts w:hint="eastAsia" w:ascii="宋体" w:hAnsi="宋体" w:eastAsia="宋体" w:cs="宋体"/>
                <w:color w:val="auto"/>
                <w:kern w:val="2"/>
                <w:sz w:val="18"/>
                <w:szCs w:val="18"/>
                <w:highlight w:val="none"/>
                <w:lang w:val="en-US" w:eastAsia="zh-CN" w:bidi="ar-SA"/>
              </w:rPr>
              <w:t>重大决策、规范性文件审核：10件/年，等其他工作。</w:t>
            </w:r>
          </w:p>
        </w:tc>
      </w:tr>
      <w:tr w14:paraId="09D6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9" w:type="dxa"/>
            <w:vMerge w:val="continue"/>
            <w:noWrap w:val="0"/>
            <w:vAlign w:val="center"/>
          </w:tcPr>
          <w:p w14:paraId="2074760C">
            <w:pPr>
              <w:jc w:val="center"/>
              <w:rPr>
                <w:rFonts w:hint="eastAsia"/>
                <w:color w:val="auto"/>
                <w:sz w:val="18"/>
                <w:szCs w:val="18"/>
                <w:highlight w:val="none"/>
              </w:rPr>
            </w:pPr>
          </w:p>
        </w:tc>
        <w:tc>
          <w:tcPr>
            <w:tcW w:w="1392" w:type="dxa"/>
            <w:vMerge w:val="continue"/>
            <w:noWrap w:val="0"/>
            <w:vAlign w:val="center"/>
          </w:tcPr>
          <w:p w14:paraId="2461FF92">
            <w:pPr>
              <w:jc w:val="center"/>
              <w:rPr>
                <w:rFonts w:hint="eastAsia"/>
                <w:color w:val="auto"/>
                <w:sz w:val="18"/>
                <w:szCs w:val="18"/>
                <w:highlight w:val="none"/>
              </w:rPr>
            </w:pPr>
          </w:p>
        </w:tc>
        <w:tc>
          <w:tcPr>
            <w:tcW w:w="2602" w:type="dxa"/>
            <w:noWrap w:val="0"/>
            <w:vAlign w:val="center"/>
          </w:tcPr>
          <w:p w14:paraId="49D2E731">
            <w:pPr>
              <w:jc w:val="center"/>
              <w:rPr>
                <w:rFonts w:hint="eastAsia" w:eastAsia="宋体"/>
                <w:color w:val="auto"/>
                <w:sz w:val="18"/>
                <w:szCs w:val="18"/>
                <w:highlight w:val="none"/>
              </w:rPr>
            </w:pPr>
            <w:r>
              <w:rPr>
                <w:rFonts w:hint="eastAsia" w:eastAsia="宋体"/>
                <w:color w:val="auto"/>
                <w:sz w:val="18"/>
                <w:szCs w:val="18"/>
                <w:highlight w:val="none"/>
                <w:lang w:val="en-US" w:eastAsia="zh-CN"/>
              </w:rPr>
              <w:t>提供法律咨询及风险分析</w:t>
            </w:r>
          </w:p>
        </w:tc>
        <w:tc>
          <w:tcPr>
            <w:tcW w:w="3011" w:type="dxa"/>
            <w:gridSpan w:val="2"/>
            <w:vMerge w:val="continue"/>
            <w:noWrap w:val="0"/>
            <w:vAlign w:val="center"/>
          </w:tcPr>
          <w:p w14:paraId="3EE3D7EC">
            <w:pPr>
              <w:jc w:val="center"/>
              <w:rPr>
                <w:rFonts w:hint="eastAsia"/>
                <w:color w:val="auto"/>
                <w:sz w:val="18"/>
                <w:szCs w:val="18"/>
                <w:highlight w:val="none"/>
              </w:rPr>
            </w:pPr>
          </w:p>
        </w:tc>
        <w:tc>
          <w:tcPr>
            <w:tcW w:w="3333" w:type="dxa"/>
            <w:vMerge w:val="continue"/>
            <w:noWrap w:val="0"/>
            <w:vAlign w:val="center"/>
          </w:tcPr>
          <w:p w14:paraId="19291713">
            <w:pPr>
              <w:jc w:val="left"/>
              <w:rPr>
                <w:color w:val="auto"/>
                <w:sz w:val="18"/>
                <w:szCs w:val="18"/>
                <w:highlight w:val="none"/>
              </w:rPr>
            </w:pPr>
          </w:p>
        </w:tc>
        <w:tc>
          <w:tcPr>
            <w:tcW w:w="1100" w:type="dxa"/>
            <w:vMerge w:val="continue"/>
            <w:noWrap w:val="0"/>
            <w:vAlign w:val="center"/>
          </w:tcPr>
          <w:p w14:paraId="062C6228">
            <w:pPr>
              <w:jc w:val="center"/>
              <w:rPr>
                <w:rFonts w:hint="eastAsia"/>
                <w:color w:val="auto"/>
                <w:sz w:val="18"/>
                <w:szCs w:val="18"/>
                <w:highlight w:val="none"/>
                <w:lang w:val="en-US" w:eastAsia="zh-CN"/>
              </w:rPr>
            </w:pPr>
          </w:p>
        </w:tc>
        <w:tc>
          <w:tcPr>
            <w:tcW w:w="1405" w:type="dxa"/>
            <w:vMerge w:val="continue"/>
            <w:noWrap w:val="0"/>
            <w:vAlign w:val="center"/>
          </w:tcPr>
          <w:p w14:paraId="771B5A7C">
            <w:pPr>
              <w:jc w:val="center"/>
              <w:rPr>
                <w:rFonts w:hint="eastAsia"/>
                <w:color w:val="auto"/>
                <w:sz w:val="18"/>
                <w:szCs w:val="18"/>
                <w:highlight w:val="none"/>
                <w:lang w:val="en-US" w:eastAsia="zh-CN"/>
              </w:rPr>
            </w:pPr>
          </w:p>
        </w:tc>
      </w:tr>
      <w:tr w14:paraId="1348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9" w:type="dxa"/>
            <w:vMerge w:val="continue"/>
            <w:noWrap w:val="0"/>
            <w:vAlign w:val="center"/>
          </w:tcPr>
          <w:p w14:paraId="4714F439">
            <w:pPr>
              <w:jc w:val="center"/>
              <w:rPr>
                <w:rFonts w:hint="eastAsia"/>
                <w:color w:val="auto"/>
                <w:sz w:val="18"/>
                <w:szCs w:val="18"/>
                <w:highlight w:val="none"/>
              </w:rPr>
            </w:pPr>
          </w:p>
        </w:tc>
        <w:tc>
          <w:tcPr>
            <w:tcW w:w="1392" w:type="dxa"/>
            <w:vMerge w:val="continue"/>
            <w:noWrap w:val="0"/>
            <w:vAlign w:val="center"/>
          </w:tcPr>
          <w:p w14:paraId="29B8E9F8">
            <w:pPr>
              <w:jc w:val="center"/>
              <w:rPr>
                <w:rFonts w:hint="eastAsia"/>
                <w:color w:val="auto"/>
                <w:sz w:val="18"/>
                <w:szCs w:val="18"/>
                <w:highlight w:val="none"/>
              </w:rPr>
            </w:pPr>
          </w:p>
        </w:tc>
        <w:tc>
          <w:tcPr>
            <w:tcW w:w="2602" w:type="dxa"/>
            <w:noWrap w:val="0"/>
            <w:vAlign w:val="center"/>
          </w:tcPr>
          <w:p w14:paraId="35C1E6BD">
            <w:pPr>
              <w:jc w:val="center"/>
              <w:rPr>
                <w:rFonts w:hint="eastAsia" w:eastAsia="宋体"/>
                <w:color w:val="auto"/>
                <w:sz w:val="18"/>
                <w:szCs w:val="18"/>
                <w:highlight w:val="none"/>
              </w:rPr>
            </w:pPr>
            <w:r>
              <w:rPr>
                <w:rFonts w:hint="eastAsia" w:eastAsia="宋体"/>
                <w:color w:val="auto"/>
                <w:sz w:val="18"/>
                <w:szCs w:val="18"/>
                <w:highlight w:val="none"/>
                <w:lang w:val="en-US" w:eastAsia="zh-CN"/>
              </w:rPr>
              <w:t>参与东区法治讲座及宣传</w:t>
            </w:r>
          </w:p>
        </w:tc>
        <w:tc>
          <w:tcPr>
            <w:tcW w:w="3011" w:type="dxa"/>
            <w:gridSpan w:val="2"/>
            <w:vMerge w:val="continue"/>
            <w:noWrap w:val="0"/>
            <w:vAlign w:val="center"/>
          </w:tcPr>
          <w:p w14:paraId="2AD7BDD1">
            <w:pPr>
              <w:jc w:val="center"/>
              <w:rPr>
                <w:rFonts w:hint="eastAsia"/>
                <w:color w:val="auto"/>
                <w:sz w:val="18"/>
                <w:szCs w:val="18"/>
                <w:highlight w:val="none"/>
              </w:rPr>
            </w:pPr>
          </w:p>
        </w:tc>
        <w:tc>
          <w:tcPr>
            <w:tcW w:w="3333" w:type="dxa"/>
            <w:vMerge w:val="continue"/>
            <w:noWrap w:val="0"/>
            <w:vAlign w:val="center"/>
          </w:tcPr>
          <w:p w14:paraId="7BC32E75">
            <w:pPr>
              <w:jc w:val="left"/>
              <w:rPr>
                <w:color w:val="auto"/>
                <w:sz w:val="18"/>
                <w:szCs w:val="18"/>
                <w:highlight w:val="none"/>
              </w:rPr>
            </w:pPr>
          </w:p>
        </w:tc>
        <w:tc>
          <w:tcPr>
            <w:tcW w:w="1100" w:type="dxa"/>
            <w:vMerge w:val="continue"/>
            <w:noWrap w:val="0"/>
            <w:vAlign w:val="center"/>
          </w:tcPr>
          <w:p w14:paraId="1BC94EDC">
            <w:pPr>
              <w:jc w:val="center"/>
              <w:rPr>
                <w:rFonts w:hint="eastAsia"/>
                <w:color w:val="auto"/>
                <w:sz w:val="18"/>
                <w:szCs w:val="18"/>
                <w:highlight w:val="none"/>
                <w:lang w:val="en-US" w:eastAsia="zh-CN"/>
              </w:rPr>
            </w:pPr>
          </w:p>
        </w:tc>
        <w:tc>
          <w:tcPr>
            <w:tcW w:w="1405" w:type="dxa"/>
            <w:vMerge w:val="continue"/>
            <w:noWrap w:val="0"/>
            <w:vAlign w:val="center"/>
          </w:tcPr>
          <w:p w14:paraId="3BF6A1EB">
            <w:pPr>
              <w:jc w:val="center"/>
              <w:rPr>
                <w:rFonts w:hint="eastAsia"/>
                <w:color w:val="auto"/>
                <w:sz w:val="18"/>
                <w:szCs w:val="18"/>
                <w:highlight w:val="none"/>
                <w:lang w:val="en-US" w:eastAsia="zh-CN"/>
              </w:rPr>
            </w:pPr>
          </w:p>
        </w:tc>
      </w:tr>
      <w:tr w14:paraId="2D11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9" w:type="dxa"/>
            <w:vMerge w:val="continue"/>
            <w:noWrap w:val="0"/>
            <w:vAlign w:val="center"/>
          </w:tcPr>
          <w:p w14:paraId="18AF7A3E">
            <w:pPr>
              <w:jc w:val="center"/>
              <w:rPr>
                <w:rFonts w:hint="eastAsia"/>
                <w:color w:val="auto"/>
                <w:sz w:val="18"/>
                <w:szCs w:val="18"/>
                <w:highlight w:val="none"/>
              </w:rPr>
            </w:pPr>
          </w:p>
        </w:tc>
        <w:tc>
          <w:tcPr>
            <w:tcW w:w="1392" w:type="dxa"/>
            <w:vMerge w:val="continue"/>
            <w:noWrap w:val="0"/>
            <w:vAlign w:val="center"/>
          </w:tcPr>
          <w:p w14:paraId="446FECFA">
            <w:pPr>
              <w:jc w:val="center"/>
              <w:rPr>
                <w:rFonts w:hint="eastAsia"/>
                <w:color w:val="auto"/>
                <w:sz w:val="18"/>
                <w:szCs w:val="18"/>
                <w:highlight w:val="none"/>
              </w:rPr>
            </w:pPr>
          </w:p>
        </w:tc>
        <w:tc>
          <w:tcPr>
            <w:tcW w:w="2602" w:type="dxa"/>
            <w:noWrap w:val="0"/>
            <w:vAlign w:val="center"/>
          </w:tcPr>
          <w:p w14:paraId="3CF7D4FF">
            <w:pPr>
              <w:jc w:val="center"/>
              <w:rPr>
                <w:rFonts w:hint="eastAsia" w:eastAsia="宋体"/>
                <w:color w:val="auto"/>
                <w:sz w:val="18"/>
                <w:szCs w:val="18"/>
                <w:highlight w:val="none"/>
              </w:rPr>
            </w:pPr>
            <w:r>
              <w:rPr>
                <w:rFonts w:hint="eastAsia" w:eastAsia="宋体"/>
                <w:color w:val="auto"/>
                <w:sz w:val="18"/>
                <w:szCs w:val="18"/>
                <w:highlight w:val="none"/>
                <w:lang w:val="en-US" w:eastAsia="zh-CN"/>
              </w:rPr>
              <w:t>行政复议工作</w:t>
            </w:r>
          </w:p>
        </w:tc>
        <w:tc>
          <w:tcPr>
            <w:tcW w:w="3011" w:type="dxa"/>
            <w:gridSpan w:val="2"/>
            <w:vMerge w:val="continue"/>
            <w:noWrap w:val="0"/>
            <w:vAlign w:val="center"/>
          </w:tcPr>
          <w:p w14:paraId="13A3CDFD">
            <w:pPr>
              <w:jc w:val="center"/>
              <w:rPr>
                <w:rFonts w:hint="eastAsia"/>
                <w:color w:val="auto"/>
                <w:sz w:val="18"/>
                <w:szCs w:val="18"/>
                <w:highlight w:val="none"/>
              </w:rPr>
            </w:pPr>
          </w:p>
        </w:tc>
        <w:tc>
          <w:tcPr>
            <w:tcW w:w="3333" w:type="dxa"/>
            <w:vMerge w:val="continue"/>
            <w:noWrap w:val="0"/>
            <w:vAlign w:val="center"/>
          </w:tcPr>
          <w:p w14:paraId="0F1BF85D">
            <w:pPr>
              <w:jc w:val="left"/>
              <w:rPr>
                <w:color w:val="auto"/>
                <w:sz w:val="18"/>
                <w:szCs w:val="18"/>
                <w:highlight w:val="none"/>
              </w:rPr>
            </w:pPr>
          </w:p>
        </w:tc>
        <w:tc>
          <w:tcPr>
            <w:tcW w:w="1100" w:type="dxa"/>
            <w:vMerge w:val="continue"/>
            <w:noWrap w:val="0"/>
            <w:vAlign w:val="center"/>
          </w:tcPr>
          <w:p w14:paraId="7ABFEDA4">
            <w:pPr>
              <w:jc w:val="center"/>
              <w:rPr>
                <w:rFonts w:hint="eastAsia"/>
                <w:color w:val="auto"/>
                <w:sz w:val="18"/>
                <w:szCs w:val="18"/>
                <w:highlight w:val="none"/>
                <w:lang w:val="en-US" w:eastAsia="zh-CN"/>
              </w:rPr>
            </w:pPr>
          </w:p>
        </w:tc>
        <w:tc>
          <w:tcPr>
            <w:tcW w:w="1405" w:type="dxa"/>
            <w:vMerge w:val="continue"/>
            <w:noWrap w:val="0"/>
            <w:vAlign w:val="center"/>
          </w:tcPr>
          <w:p w14:paraId="5D6B051F">
            <w:pPr>
              <w:jc w:val="center"/>
              <w:rPr>
                <w:rFonts w:hint="eastAsia"/>
                <w:color w:val="auto"/>
                <w:sz w:val="18"/>
                <w:szCs w:val="18"/>
                <w:highlight w:val="none"/>
                <w:lang w:val="en-US" w:eastAsia="zh-CN"/>
              </w:rPr>
            </w:pPr>
          </w:p>
        </w:tc>
      </w:tr>
      <w:tr w14:paraId="7FE8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99" w:type="dxa"/>
            <w:vMerge w:val="continue"/>
            <w:noWrap w:val="0"/>
            <w:vAlign w:val="center"/>
          </w:tcPr>
          <w:p w14:paraId="67C1E408">
            <w:pPr>
              <w:jc w:val="center"/>
              <w:rPr>
                <w:rFonts w:hint="eastAsia"/>
                <w:color w:val="auto"/>
                <w:sz w:val="18"/>
                <w:szCs w:val="18"/>
                <w:highlight w:val="none"/>
              </w:rPr>
            </w:pPr>
          </w:p>
        </w:tc>
        <w:tc>
          <w:tcPr>
            <w:tcW w:w="1392" w:type="dxa"/>
            <w:vMerge w:val="continue"/>
            <w:noWrap w:val="0"/>
            <w:vAlign w:val="center"/>
          </w:tcPr>
          <w:p w14:paraId="3C132ADC">
            <w:pPr>
              <w:jc w:val="center"/>
              <w:rPr>
                <w:rFonts w:hint="eastAsia"/>
                <w:color w:val="auto"/>
                <w:sz w:val="18"/>
                <w:szCs w:val="18"/>
                <w:highlight w:val="none"/>
              </w:rPr>
            </w:pPr>
          </w:p>
        </w:tc>
        <w:tc>
          <w:tcPr>
            <w:tcW w:w="2602" w:type="dxa"/>
            <w:noWrap w:val="0"/>
            <w:vAlign w:val="center"/>
          </w:tcPr>
          <w:p w14:paraId="754C33A3">
            <w:pPr>
              <w:jc w:val="center"/>
              <w:rPr>
                <w:rFonts w:hint="eastAsia" w:eastAsia="宋体"/>
                <w:color w:val="auto"/>
                <w:sz w:val="18"/>
                <w:szCs w:val="18"/>
                <w:highlight w:val="none"/>
              </w:rPr>
            </w:pPr>
            <w:r>
              <w:rPr>
                <w:rFonts w:hint="eastAsia" w:eastAsia="宋体"/>
                <w:color w:val="auto"/>
                <w:sz w:val="18"/>
                <w:szCs w:val="18"/>
                <w:highlight w:val="none"/>
                <w:lang w:val="en-US" w:eastAsia="zh-CN"/>
              </w:rPr>
              <w:t>执法人员培训</w:t>
            </w:r>
          </w:p>
        </w:tc>
        <w:tc>
          <w:tcPr>
            <w:tcW w:w="3011" w:type="dxa"/>
            <w:gridSpan w:val="2"/>
            <w:vMerge w:val="continue"/>
            <w:noWrap w:val="0"/>
            <w:vAlign w:val="center"/>
          </w:tcPr>
          <w:p w14:paraId="6A26795E">
            <w:pPr>
              <w:jc w:val="center"/>
              <w:rPr>
                <w:rFonts w:hint="eastAsia"/>
                <w:color w:val="auto"/>
                <w:sz w:val="18"/>
                <w:szCs w:val="18"/>
                <w:highlight w:val="none"/>
              </w:rPr>
            </w:pPr>
          </w:p>
        </w:tc>
        <w:tc>
          <w:tcPr>
            <w:tcW w:w="3333" w:type="dxa"/>
            <w:vMerge w:val="continue"/>
            <w:noWrap w:val="0"/>
            <w:vAlign w:val="center"/>
          </w:tcPr>
          <w:p w14:paraId="33AD9BAD">
            <w:pPr>
              <w:jc w:val="left"/>
              <w:rPr>
                <w:color w:val="auto"/>
                <w:sz w:val="18"/>
                <w:szCs w:val="18"/>
                <w:highlight w:val="none"/>
              </w:rPr>
            </w:pPr>
          </w:p>
        </w:tc>
        <w:tc>
          <w:tcPr>
            <w:tcW w:w="1100" w:type="dxa"/>
            <w:vMerge w:val="continue"/>
            <w:noWrap w:val="0"/>
            <w:vAlign w:val="center"/>
          </w:tcPr>
          <w:p w14:paraId="2EB43E9E">
            <w:pPr>
              <w:jc w:val="center"/>
              <w:rPr>
                <w:rFonts w:hint="eastAsia"/>
                <w:color w:val="auto"/>
                <w:sz w:val="18"/>
                <w:szCs w:val="18"/>
                <w:highlight w:val="none"/>
                <w:lang w:val="en-US" w:eastAsia="zh-CN"/>
              </w:rPr>
            </w:pPr>
          </w:p>
        </w:tc>
        <w:tc>
          <w:tcPr>
            <w:tcW w:w="1405" w:type="dxa"/>
            <w:vMerge w:val="continue"/>
            <w:noWrap w:val="0"/>
            <w:vAlign w:val="center"/>
          </w:tcPr>
          <w:p w14:paraId="2EFFC949">
            <w:pPr>
              <w:jc w:val="center"/>
              <w:rPr>
                <w:rFonts w:hint="eastAsia"/>
                <w:color w:val="auto"/>
                <w:sz w:val="18"/>
                <w:szCs w:val="18"/>
                <w:highlight w:val="none"/>
                <w:lang w:val="en-US" w:eastAsia="zh-CN"/>
              </w:rPr>
            </w:pPr>
          </w:p>
        </w:tc>
      </w:tr>
      <w:tr w14:paraId="7B66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jc w:val="center"/>
        </w:trPr>
        <w:tc>
          <w:tcPr>
            <w:tcW w:w="1099" w:type="dxa"/>
            <w:vMerge w:val="continue"/>
            <w:noWrap w:val="0"/>
            <w:vAlign w:val="center"/>
          </w:tcPr>
          <w:p w14:paraId="5C298CC1">
            <w:pPr>
              <w:jc w:val="center"/>
              <w:rPr>
                <w:rFonts w:hint="eastAsia"/>
                <w:color w:val="auto"/>
                <w:sz w:val="18"/>
                <w:szCs w:val="18"/>
                <w:highlight w:val="none"/>
              </w:rPr>
            </w:pPr>
          </w:p>
        </w:tc>
        <w:tc>
          <w:tcPr>
            <w:tcW w:w="1392" w:type="dxa"/>
            <w:vMerge w:val="continue"/>
            <w:noWrap w:val="0"/>
            <w:vAlign w:val="center"/>
          </w:tcPr>
          <w:p w14:paraId="4260000E">
            <w:pPr>
              <w:jc w:val="center"/>
              <w:rPr>
                <w:rFonts w:hint="eastAsia"/>
                <w:color w:val="auto"/>
                <w:sz w:val="18"/>
                <w:szCs w:val="18"/>
                <w:highlight w:val="none"/>
              </w:rPr>
            </w:pPr>
          </w:p>
        </w:tc>
        <w:tc>
          <w:tcPr>
            <w:tcW w:w="2602" w:type="dxa"/>
            <w:noWrap w:val="0"/>
            <w:vAlign w:val="center"/>
          </w:tcPr>
          <w:p w14:paraId="5D8D2219">
            <w:pPr>
              <w:jc w:val="center"/>
              <w:rPr>
                <w:rFonts w:hint="eastAsia" w:eastAsia="宋体"/>
                <w:color w:val="auto"/>
                <w:sz w:val="18"/>
                <w:szCs w:val="18"/>
                <w:highlight w:val="none"/>
              </w:rPr>
            </w:pPr>
            <w:r>
              <w:rPr>
                <w:rFonts w:hint="eastAsia" w:eastAsia="宋体"/>
                <w:color w:val="auto"/>
                <w:sz w:val="18"/>
                <w:szCs w:val="18"/>
                <w:highlight w:val="none"/>
                <w:lang w:val="en-US" w:eastAsia="zh-CN"/>
              </w:rPr>
              <w:t>行政执法行为审核备案</w:t>
            </w:r>
          </w:p>
        </w:tc>
        <w:tc>
          <w:tcPr>
            <w:tcW w:w="3011" w:type="dxa"/>
            <w:gridSpan w:val="2"/>
            <w:vMerge w:val="continue"/>
            <w:noWrap w:val="0"/>
            <w:vAlign w:val="center"/>
          </w:tcPr>
          <w:p w14:paraId="6ADD0846">
            <w:pPr>
              <w:jc w:val="center"/>
              <w:rPr>
                <w:rFonts w:hint="eastAsia"/>
                <w:color w:val="auto"/>
                <w:sz w:val="18"/>
                <w:szCs w:val="18"/>
                <w:highlight w:val="none"/>
              </w:rPr>
            </w:pPr>
          </w:p>
        </w:tc>
        <w:tc>
          <w:tcPr>
            <w:tcW w:w="3333" w:type="dxa"/>
            <w:vMerge w:val="continue"/>
            <w:noWrap w:val="0"/>
            <w:vAlign w:val="center"/>
          </w:tcPr>
          <w:p w14:paraId="04D9D95A">
            <w:pPr>
              <w:jc w:val="left"/>
              <w:rPr>
                <w:color w:val="auto"/>
                <w:sz w:val="18"/>
                <w:szCs w:val="18"/>
                <w:highlight w:val="none"/>
              </w:rPr>
            </w:pPr>
          </w:p>
        </w:tc>
        <w:tc>
          <w:tcPr>
            <w:tcW w:w="1100" w:type="dxa"/>
            <w:vMerge w:val="continue"/>
            <w:noWrap w:val="0"/>
            <w:vAlign w:val="center"/>
          </w:tcPr>
          <w:p w14:paraId="1F872238">
            <w:pPr>
              <w:jc w:val="center"/>
              <w:rPr>
                <w:rFonts w:hint="eastAsia"/>
                <w:color w:val="auto"/>
                <w:sz w:val="18"/>
                <w:szCs w:val="18"/>
                <w:highlight w:val="none"/>
                <w:lang w:val="en-US" w:eastAsia="zh-CN"/>
              </w:rPr>
            </w:pPr>
          </w:p>
        </w:tc>
        <w:tc>
          <w:tcPr>
            <w:tcW w:w="1405" w:type="dxa"/>
            <w:vMerge w:val="continue"/>
            <w:noWrap w:val="0"/>
            <w:vAlign w:val="center"/>
          </w:tcPr>
          <w:p w14:paraId="3E13FDBD">
            <w:pPr>
              <w:jc w:val="center"/>
              <w:rPr>
                <w:rFonts w:hint="eastAsia"/>
                <w:color w:val="auto"/>
                <w:sz w:val="18"/>
                <w:szCs w:val="18"/>
                <w:highlight w:val="none"/>
                <w:lang w:val="en-US" w:eastAsia="zh-CN"/>
              </w:rPr>
            </w:pPr>
          </w:p>
        </w:tc>
      </w:tr>
      <w:tr w14:paraId="6C0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099" w:type="dxa"/>
            <w:vMerge w:val="restart"/>
            <w:noWrap w:val="0"/>
            <w:vAlign w:val="center"/>
          </w:tcPr>
          <w:p w14:paraId="2C0B2DD4">
            <w:pPr>
              <w:jc w:val="center"/>
              <w:rPr>
                <w:rFonts w:hint="eastAsia" w:eastAsia="宋体"/>
                <w:color w:val="auto"/>
                <w:sz w:val="18"/>
                <w:szCs w:val="18"/>
                <w:highlight w:val="none"/>
                <w:lang w:eastAsia="zh-CN"/>
              </w:rPr>
            </w:pPr>
            <w:r>
              <w:rPr>
                <w:rFonts w:hint="eastAsia" w:ascii="宋体" w:eastAsia="宋体"/>
                <w:color w:val="auto"/>
                <w:sz w:val="18"/>
                <w:szCs w:val="18"/>
                <w:highlight w:val="none"/>
                <w:lang w:val="en-US" w:eastAsia="zh-CN"/>
              </w:rPr>
              <w:t>2</w:t>
            </w:r>
          </w:p>
        </w:tc>
        <w:tc>
          <w:tcPr>
            <w:tcW w:w="3994" w:type="dxa"/>
            <w:gridSpan w:val="2"/>
            <w:vMerge w:val="restart"/>
            <w:noWrap w:val="0"/>
            <w:vAlign w:val="center"/>
          </w:tcPr>
          <w:p w14:paraId="23717020">
            <w:pPr>
              <w:jc w:val="center"/>
              <w:rPr>
                <w:color w:val="auto"/>
                <w:sz w:val="18"/>
                <w:szCs w:val="18"/>
                <w:highlight w:val="none"/>
              </w:rPr>
            </w:pPr>
            <w:r>
              <w:rPr>
                <w:rFonts w:hint="eastAsia"/>
                <w:color w:val="auto"/>
                <w:sz w:val="18"/>
                <w:szCs w:val="18"/>
                <w:highlight w:val="none"/>
              </w:rPr>
              <w:t>行政诉讼</w:t>
            </w:r>
          </w:p>
        </w:tc>
        <w:tc>
          <w:tcPr>
            <w:tcW w:w="1904" w:type="dxa"/>
            <w:noWrap w:val="0"/>
            <w:vAlign w:val="center"/>
          </w:tcPr>
          <w:p w14:paraId="5677DA6A">
            <w:pPr>
              <w:jc w:val="center"/>
              <w:rPr>
                <w:rFonts w:hint="eastAsia" w:eastAsia="宋体"/>
                <w:color w:val="auto"/>
                <w:sz w:val="18"/>
                <w:szCs w:val="18"/>
                <w:highlight w:val="none"/>
              </w:rPr>
            </w:pPr>
            <w:r>
              <w:rPr>
                <w:rFonts w:hint="eastAsia" w:eastAsia="宋体"/>
                <w:color w:val="auto"/>
                <w:sz w:val="18"/>
                <w:szCs w:val="18"/>
                <w:highlight w:val="none"/>
              </w:rPr>
              <w:t>一般案件</w:t>
            </w:r>
          </w:p>
        </w:tc>
        <w:tc>
          <w:tcPr>
            <w:tcW w:w="1107" w:type="dxa"/>
            <w:noWrap w:val="0"/>
            <w:vAlign w:val="center"/>
          </w:tcPr>
          <w:p w14:paraId="092875F2">
            <w:pPr>
              <w:jc w:val="center"/>
              <w:rPr>
                <w:rFonts w:hint="default"/>
                <w:color w:val="auto"/>
                <w:sz w:val="18"/>
                <w:szCs w:val="18"/>
                <w:highlight w:val="none"/>
                <w:lang w:val="en-US" w:eastAsia="zh-CN"/>
              </w:rPr>
            </w:pPr>
            <w:r>
              <w:rPr>
                <w:rFonts w:hint="eastAsia" w:ascii="宋体" w:eastAsia="宋体"/>
                <w:color w:val="auto"/>
                <w:sz w:val="18"/>
                <w:szCs w:val="18"/>
                <w:highlight w:val="none"/>
                <w:lang w:val="en-US" w:eastAsia="zh-CN"/>
              </w:rPr>
              <w:t>一审</w:t>
            </w:r>
            <w:r>
              <w:rPr>
                <w:rFonts w:hint="eastAsia"/>
                <w:color w:val="auto"/>
                <w:sz w:val="18"/>
                <w:szCs w:val="18"/>
                <w:highlight w:val="none"/>
              </w:rPr>
              <w:t>0.</w:t>
            </w:r>
            <w:r>
              <w:rPr>
                <w:rFonts w:hint="eastAsia" w:ascii="宋体" w:eastAsia="宋体"/>
                <w:color w:val="auto"/>
                <w:sz w:val="18"/>
                <w:szCs w:val="18"/>
                <w:highlight w:val="none"/>
                <w:lang w:val="en-US" w:eastAsia="zh-CN"/>
              </w:rPr>
              <w:t>4</w:t>
            </w:r>
            <w:r>
              <w:rPr>
                <w:rFonts w:hint="eastAsia"/>
                <w:color w:val="auto"/>
                <w:sz w:val="18"/>
                <w:szCs w:val="18"/>
                <w:highlight w:val="none"/>
              </w:rPr>
              <w:t>万元/件</w:t>
            </w:r>
            <w:r>
              <w:rPr>
                <w:rFonts w:hint="eastAsia" w:ascii="宋体" w:eastAsia="宋体"/>
                <w:color w:val="auto"/>
                <w:sz w:val="18"/>
                <w:szCs w:val="18"/>
                <w:highlight w:val="none"/>
                <w:lang w:val="en-US" w:eastAsia="zh-CN"/>
              </w:rPr>
              <w:t>二审0.2万元/件再审0.2万元/件</w:t>
            </w:r>
          </w:p>
          <w:p w14:paraId="305FDB0B">
            <w:pPr>
              <w:widowControl w:val="0"/>
              <w:spacing w:after="120"/>
              <w:ind w:firstLine="420"/>
              <w:jc w:val="both"/>
              <w:rPr>
                <w:rFonts w:hint="default" w:ascii="Times New Roman" w:hAnsi="Times New Roman" w:eastAsia="楷体_GB2312" w:cs="Times New Roman"/>
                <w:color w:val="auto"/>
                <w:kern w:val="2"/>
                <w:sz w:val="32"/>
                <w:szCs w:val="20"/>
                <w:highlight w:val="none"/>
                <w:lang w:val="en-US" w:eastAsia="zh-CN" w:bidi="ar-SA"/>
              </w:rPr>
            </w:pPr>
          </w:p>
        </w:tc>
        <w:tc>
          <w:tcPr>
            <w:tcW w:w="3333" w:type="dxa"/>
            <w:noWrap w:val="0"/>
            <w:vAlign w:val="center"/>
          </w:tcPr>
          <w:p w14:paraId="4051510E">
            <w:pPr>
              <w:jc w:val="center"/>
              <w:rPr>
                <w:color w:val="auto"/>
                <w:sz w:val="18"/>
                <w:szCs w:val="18"/>
                <w:highlight w:val="none"/>
              </w:rPr>
            </w:pPr>
          </w:p>
        </w:tc>
        <w:tc>
          <w:tcPr>
            <w:tcW w:w="1100" w:type="dxa"/>
            <w:vMerge w:val="restart"/>
            <w:noWrap w:val="0"/>
            <w:vAlign w:val="center"/>
          </w:tcPr>
          <w:p w14:paraId="0AA68402">
            <w:pPr>
              <w:jc w:val="center"/>
              <w:rPr>
                <w:rFonts w:hint="eastAsia"/>
                <w:color w:val="auto"/>
                <w:sz w:val="18"/>
                <w:szCs w:val="18"/>
                <w:highlight w:val="none"/>
              </w:rPr>
            </w:pPr>
            <w:r>
              <w:rPr>
                <w:rFonts w:hint="eastAsia"/>
                <w:color w:val="auto"/>
                <w:sz w:val="18"/>
                <w:szCs w:val="18"/>
                <w:highlight w:val="none"/>
              </w:rPr>
              <w:t>根据审判程序按件计费</w:t>
            </w:r>
          </w:p>
        </w:tc>
        <w:tc>
          <w:tcPr>
            <w:tcW w:w="1405" w:type="dxa"/>
            <w:noWrap w:val="0"/>
            <w:vAlign w:val="center"/>
          </w:tcPr>
          <w:p w14:paraId="5CF702DF">
            <w:pPr>
              <w:jc w:val="center"/>
              <w:rPr>
                <w:rFonts w:hint="default" w:eastAsia="宋体"/>
                <w:color w:val="auto"/>
                <w:sz w:val="18"/>
                <w:szCs w:val="18"/>
                <w:highlight w:val="none"/>
                <w:lang w:val="en-US" w:eastAsia="zh-CN"/>
              </w:rPr>
            </w:pPr>
            <w:r>
              <w:rPr>
                <w:rFonts w:hint="eastAsia" w:ascii="宋体" w:eastAsia="宋体"/>
                <w:color w:val="auto"/>
                <w:sz w:val="18"/>
                <w:szCs w:val="18"/>
                <w:highlight w:val="none"/>
                <w:lang w:val="en-US" w:eastAsia="zh-CN"/>
              </w:rPr>
              <w:t>一审案件100件/年；二审及再审案件50件</w:t>
            </w:r>
          </w:p>
        </w:tc>
      </w:tr>
      <w:tr w14:paraId="4711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99" w:type="dxa"/>
            <w:vMerge w:val="continue"/>
            <w:noWrap w:val="0"/>
            <w:vAlign w:val="center"/>
          </w:tcPr>
          <w:p w14:paraId="41F9E0F9">
            <w:pPr>
              <w:jc w:val="center"/>
              <w:rPr>
                <w:rFonts w:hint="eastAsia"/>
                <w:color w:val="auto"/>
                <w:sz w:val="18"/>
                <w:szCs w:val="18"/>
                <w:highlight w:val="none"/>
              </w:rPr>
            </w:pPr>
          </w:p>
        </w:tc>
        <w:tc>
          <w:tcPr>
            <w:tcW w:w="3994" w:type="dxa"/>
            <w:gridSpan w:val="2"/>
            <w:vMerge w:val="continue"/>
            <w:noWrap w:val="0"/>
            <w:vAlign w:val="center"/>
          </w:tcPr>
          <w:p w14:paraId="2D090E49">
            <w:pPr>
              <w:jc w:val="center"/>
              <w:rPr>
                <w:rFonts w:hint="eastAsia"/>
                <w:color w:val="auto"/>
                <w:sz w:val="18"/>
                <w:szCs w:val="18"/>
                <w:highlight w:val="none"/>
              </w:rPr>
            </w:pPr>
          </w:p>
        </w:tc>
        <w:tc>
          <w:tcPr>
            <w:tcW w:w="1904" w:type="dxa"/>
            <w:noWrap w:val="0"/>
            <w:vAlign w:val="center"/>
          </w:tcPr>
          <w:p w14:paraId="195E302A">
            <w:pPr>
              <w:jc w:val="center"/>
              <w:rPr>
                <w:rFonts w:hint="eastAsia" w:eastAsia="宋体"/>
                <w:color w:val="auto"/>
                <w:sz w:val="18"/>
                <w:szCs w:val="18"/>
                <w:highlight w:val="none"/>
              </w:rPr>
            </w:pPr>
            <w:r>
              <w:rPr>
                <w:rFonts w:hint="eastAsia" w:eastAsia="宋体"/>
                <w:color w:val="auto"/>
                <w:sz w:val="18"/>
                <w:szCs w:val="18"/>
                <w:highlight w:val="none"/>
              </w:rPr>
              <w:t>重大复杂案件</w:t>
            </w:r>
          </w:p>
        </w:tc>
        <w:tc>
          <w:tcPr>
            <w:tcW w:w="1107" w:type="dxa"/>
            <w:noWrap w:val="0"/>
            <w:vAlign w:val="center"/>
          </w:tcPr>
          <w:p w14:paraId="73401ADC">
            <w:pPr>
              <w:jc w:val="center"/>
              <w:rPr>
                <w:rFonts w:hint="default" w:eastAsia="宋体"/>
                <w:color w:val="auto"/>
                <w:sz w:val="18"/>
                <w:szCs w:val="18"/>
                <w:highlight w:val="none"/>
                <w:lang w:val="en-US" w:eastAsia="zh-CN"/>
              </w:rPr>
            </w:pPr>
            <w:r>
              <w:rPr>
                <w:rFonts w:hint="eastAsia" w:ascii="宋体" w:eastAsia="宋体"/>
                <w:color w:val="auto"/>
                <w:sz w:val="18"/>
                <w:szCs w:val="18"/>
                <w:highlight w:val="none"/>
                <w:lang w:val="en-US" w:eastAsia="zh-CN"/>
              </w:rPr>
              <w:t>2</w:t>
            </w:r>
            <w:r>
              <w:rPr>
                <w:rFonts w:hint="eastAsia"/>
                <w:color w:val="auto"/>
                <w:sz w:val="18"/>
                <w:szCs w:val="18"/>
                <w:highlight w:val="none"/>
              </w:rPr>
              <w:t>万元/件</w:t>
            </w:r>
            <w:r>
              <w:rPr>
                <w:rFonts w:hint="eastAsia" w:eastAsia="宋体"/>
                <w:color w:val="auto"/>
                <w:sz w:val="18"/>
                <w:szCs w:val="18"/>
                <w:highlight w:val="none"/>
                <w:lang w:eastAsia="zh-CN"/>
              </w:rPr>
              <w:t>，</w:t>
            </w:r>
            <w:r>
              <w:rPr>
                <w:rFonts w:hint="eastAsia" w:ascii="宋体" w:eastAsia="宋体"/>
                <w:color w:val="auto"/>
                <w:sz w:val="18"/>
                <w:szCs w:val="18"/>
                <w:highlight w:val="none"/>
                <w:lang w:val="en-US" w:eastAsia="zh-CN"/>
              </w:rPr>
              <w:t>二审1万元/件，再审1万元/件</w:t>
            </w:r>
          </w:p>
        </w:tc>
        <w:tc>
          <w:tcPr>
            <w:tcW w:w="3333" w:type="dxa"/>
            <w:noWrap w:val="0"/>
            <w:vAlign w:val="center"/>
          </w:tcPr>
          <w:p w14:paraId="7456394D">
            <w:pPr>
              <w:jc w:val="left"/>
              <w:rPr>
                <w:rFonts w:hint="eastAsia"/>
                <w:color w:val="auto"/>
                <w:sz w:val="18"/>
                <w:szCs w:val="18"/>
                <w:highlight w:val="none"/>
              </w:rPr>
            </w:pPr>
            <w:r>
              <w:rPr>
                <w:rFonts w:hint="eastAsia" w:eastAsia="宋体"/>
                <w:color w:val="auto"/>
                <w:sz w:val="18"/>
                <w:szCs w:val="18"/>
                <w:highlight w:val="none"/>
                <w:lang w:eastAsia="zh-CN"/>
              </w:rPr>
              <w:t>根据具体案件情况认定。</w:t>
            </w:r>
          </w:p>
        </w:tc>
        <w:tc>
          <w:tcPr>
            <w:tcW w:w="1100" w:type="dxa"/>
            <w:vMerge w:val="continue"/>
            <w:noWrap w:val="0"/>
            <w:vAlign w:val="center"/>
          </w:tcPr>
          <w:p w14:paraId="1803B6C5">
            <w:pPr>
              <w:jc w:val="center"/>
              <w:rPr>
                <w:rFonts w:hint="eastAsia"/>
                <w:color w:val="auto"/>
                <w:sz w:val="18"/>
                <w:szCs w:val="18"/>
                <w:highlight w:val="none"/>
              </w:rPr>
            </w:pPr>
          </w:p>
        </w:tc>
        <w:tc>
          <w:tcPr>
            <w:tcW w:w="1405" w:type="dxa"/>
            <w:noWrap w:val="0"/>
            <w:vAlign w:val="center"/>
          </w:tcPr>
          <w:p w14:paraId="578505AB">
            <w:pPr>
              <w:jc w:val="center"/>
              <w:rPr>
                <w:rFonts w:hint="default" w:eastAsia="宋体"/>
                <w:color w:val="auto"/>
                <w:sz w:val="18"/>
                <w:szCs w:val="18"/>
                <w:highlight w:val="none"/>
                <w:lang w:val="en-US" w:eastAsia="zh-CN"/>
              </w:rPr>
            </w:pPr>
            <w:r>
              <w:rPr>
                <w:rFonts w:hint="eastAsia" w:ascii="宋体" w:eastAsia="宋体"/>
                <w:color w:val="auto"/>
                <w:sz w:val="18"/>
                <w:szCs w:val="18"/>
                <w:highlight w:val="none"/>
                <w:lang w:val="en-US" w:eastAsia="zh-CN"/>
              </w:rPr>
              <w:t>1至2件/年</w:t>
            </w:r>
          </w:p>
        </w:tc>
      </w:tr>
    </w:tbl>
    <w:p w14:paraId="1A2BC7A6">
      <w:pPr>
        <w:rPr>
          <w:rFonts w:hint="eastAsia"/>
          <w:color w:val="auto"/>
          <w:highlight w:val="none"/>
        </w:rPr>
      </w:pPr>
    </w:p>
    <w:p w14:paraId="0E149A46">
      <w:pPr>
        <w:spacing w:line="360" w:lineRule="auto"/>
        <w:rPr>
          <w:rFonts w:hint="eastAsia"/>
          <w:color w:val="auto"/>
          <w:highlight w:val="none"/>
        </w:rPr>
      </w:pPr>
      <w:r>
        <w:rPr>
          <w:rFonts w:hint="eastAsia"/>
          <w:color w:val="auto"/>
          <w:highlight w:val="none"/>
        </w:rPr>
        <w:t>说明：</w:t>
      </w:r>
    </w:p>
    <w:p w14:paraId="299C5009">
      <w:pPr>
        <w:spacing w:line="360" w:lineRule="auto"/>
        <w:rPr>
          <w:color w:val="auto"/>
          <w:highlight w:val="none"/>
        </w:rPr>
      </w:pPr>
      <w:r>
        <w:rPr>
          <w:rFonts w:hint="eastAsia"/>
          <w:color w:val="auto"/>
          <w:highlight w:val="none"/>
        </w:rPr>
        <w:t>1</w:t>
      </w:r>
      <w:r>
        <w:rPr>
          <w:rFonts w:hint="eastAsia" w:ascii="宋体" w:eastAsia="宋体"/>
          <w:color w:val="auto"/>
          <w:highlight w:val="none"/>
          <w:lang w:val="en-US" w:eastAsia="zh-CN"/>
        </w:rPr>
        <w:t>.</w:t>
      </w:r>
      <w:r>
        <w:rPr>
          <w:rFonts w:hint="eastAsia"/>
          <w:color w:val="auto"/>
          <w:highlight w:val="none"/>
        </w:rPr>
        <w:t>本标准服务费支付标准是第二阶段服务费用的结算标准。</w:t>
      </w:r>
    </w:p>
    <w:p w14:paraId="42D19B98">
      <w:pPr>
        <w:spacing w:line="360" w:lineRule="auto"/>
        <w:rPr>
          <w:rFonts w:hint="eastAsia"/>
          <w:color w:val="auto"/>
          <w:highlight w:val="none"/>
        </w:rPr>
      </w:pPr>
      <w:r>
        <w:rPr>
          <w:rFonts w:hint="eastAsia"/>
          <w:color w:val="auto"/>
          <w:highlight w:val="none"/>
        </w:rPr>
        <w:t>2</w:t>
      </w:r>
      <w:r>
        <w:rPr>
          <w:rFonts w:hint="eastAsia" w:ascii="宋体" w:eastAsia="宋体"/>
          <w:color w:val="auto"/>
          <w:highlight w:val="none"/>
          <w:lang w:val="en-US" w:eastAsia="zh-CN"/>
        </w:rPr>
        <w:t>.</w:t>
      </w:r>
      <w:r>
        <w:rPr>
          <w:rFonts w:hint="eastAsia"/>
          <w:color w:val="auto"/>
          <w:highlight w:val="none"/>
        </w:rPr>
        <w:t>第二阶段专业法律结算费用分为基础服务费用和绩效考核费用两部分。在供应商提供专业法律服务过程中，采购人将对供应商的服务质量进行考核，考核标准详见“征集文件第六章”，绩效考核费用将根据考核结果进行结算；</w:t>
      </w:r>
    </w:p>
    <w:p w14:paraId="634F4EF3">
      <w:pPr>
        <w:spacing w:line="360" w:lineRule="auto"/>
        <w:rPr>
          <w:rFonts w:hint="eastAsia"/>
          <w:color w:val="auto"/>
          <w:highlight w:val="none"/>
        </w:rPr>
      </w:pPr>
      <w:r>
        <w:rPr>
          <w:rFonts w:hint="eastAsia"/>
          <w:color w:val="auto"/>
          <w:highlight w:val="none"/>
        </w:rPr>
        <w:t>3</w:t>
      </w:r>
      <w:r>
        <w:rPr>
          <w:rFonts w:hint="eastAsia" w:ascii="宋体" w:eastAsia="宋体"/>
          <w:color w:val="auto"/>
          <w:highlight w:val="none"/>
          <w:lang w:val="en-US" w:eastAsia="zh-CN"/>
        </w:rPr>
        <w:t>.</w:t>
      </w:r>
      <w:r>
        <w:rPr>
          <w:rFonts w:hint="eastAsia"/>
          <w:color w:val="auto"/>
          <w:highlight w:val="none"/>
        </w:rPr>
        <w:t>行政诉讼、专项法律服务两项内容将采购人委托的具体内容及数量，据实结算。</w:t>
      </w:r>
    </w:p>
    <w:p w14:paraId="7128EFC1">
      <w:pPr>
        <w:numPr>
          <w:ilvl w:val="0"/>
          <w:numId w:val="2"/>
        </w:numPr>
        <w:spacing w:line="360" w:lineRule="auto"/>
        <w:ind w:left="426" w:leftChars="0" w:firstLine="0" w:firstLineChars="0"/>
        <w:rPr>
          <w:rFonts w:hint="eastAsia"/>
          <w:b/>
          <w:bCs/>
          <w:color w:val="auto"/>
          <w:highlight w:val="none"/>
          <w:lang w:val="en-US" w:eastAsia="zh-CN"/>
        </w:rPr>
      </w:pPr>
      <w:r>
        <w:rPr>
          <w:rFonts w:hint="eastAsia" w:ascii="宋体" w:eastAsia="宋体"/>
          <w:b/>
          <w:bCs/>
          <w:color w:val="auto"/>
          <w:highlight w:val="none"/>
          <w:lang w:val="en-US" w:eastAsia="zh-CN"/>
        </w:rPr>
        <w:t>商务要求</w:t>
      </w:r>
    </w:p>
    <w:p w14:paraId="1CEBC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1.采购方式：封闭式框架协议采购。</w:t>
      </w:r>
    </w:p>
    <w:p w14:paraId="4E400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auto"/>
          <w:highlight w:val="none"/>
          <w:lang w:val="en-US" w:eastAsia="zh-CN"/>
        </w:rPr>
      </w:pPr>
      <w:r>
        <w:rPr>
          <w:rFonts w:hint="eastAsia" w:ascii="宋体" w:eastAsia="宋体"/>
          <w:color w:val="auto"/>
          <w:highlight w:val="none"/>
          <w:lang w:val="en-US" w:eastAsia="zh-CN"/>
        </w:rPr>
        <w:t>2.</w:t>
      </w:r>
      <w:r>
        <w:rPr>
          <w:rFonts w:hint="default"/>
          <w:color w:val="auto"/>
          <w:highlight w:val="none"/>
          <w:lang w:val="en-US" w:eastAsia="zh-CN"/>
        </w:rPr>
        <w:t>适用框架协议的服务对象范围：郑东新区管委会及内设局（办）单位、直属事业单位，不含乡（镇）办事处。</w:t>
      </w:r>
    </w:p>
    <w:p w14:paraId="0573D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auto"/>
          <w:highlight w:val="none"/>
          <w:lang w:val="en-US" w:eastAsia="zh-CN"/>
        </w:rPr>
      </w:pPr>
      <w:r>
        <w:rPr>
          <w:rFonts w:hint="eastAsia" w:ascii="宋体" w:eastAsia="宋体"/>
          <w:color w:val="auto"/>
          <w:highlight w:val="none"/>
          <w:lang w:val="en-US" w:eastAsia="zh-CN"/>
        </w:rPr>
        <w:t>3.</w:t>
      </w:r>
      <w:r>
        <w:rPr>
          <w:rFonts w:hint="default"/>
          <w:color w:val="auto"/>
          <w:highlight w:val="none"/>
          <w:lang w:val="en-US" w:eastAsia="zh-CN"/>
        </w:rPr>
        <w:t>框架协议期限：从框架协议签订之日起一年。</w:t>
      </w:r>
    </w:p>
    <w:p w14:paraId="4DF291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auto"/>
          <w:highlight w:val="none"/>
          <w:lang w:val="en-US" w:eastAsia="zh-CN"/>
        </w:rPr>
      </w:pPr>
      <w:r>
        <w:rPr>
          <w:rFonts w:hint="eastAsia" w:ascii="宋体" w:eastAsia="宋体"/>
          <w:color w:val="auto"/>
          <w:highlight w:val="none"/>
          <w:lang w:val="en-US" w:eastAsia="zh-CN"/>
        </w:rPr>
        <w:t>4.</w:t>
      </w:r>
      <w:r>
        <w:rPr>
          <w:rFonts w:hint="default"/>
          <w:color w:val="auto"/>
          <w:highlight w:val="none"/>
          <w:lang w:val="en-US" w:eastAsia="zh-CN"/>
        </w:rPr>
        <w:t>服务标准：符合国家、省、市及相关行业规定的合格标准，且满足采购人要求。</w:t>
      </w:r>
    </w:p>
    <w:p w14:paraId="3F551B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szCs w:val="21"/>
          <w:highlight w:val="none"/>
          <w:u w:val="none"/>
        </w:rPr>
      </w:pPr>
      <w:r>
        <w:rPr>
          <w:rFonts w:hint="eastAsia" w:ascii="宋体" w:eastAsia="宋体"/>
          <w:color w:val="auto"/>
          <w:highlight w:val="none"/>
          <w:u w:val="none"/>
          <w:lang w:val="en-US" w:eastAsia="zh-CN"/>
        </w:rPr>
        <w:t>5.</w:t>
      </w:r>
      <w:r>
        <w:rPr>
          <w:rFonts w:hint="eastAsia"/>
          <w:color w:val="auto"/>
          <w:highlight w:val="none"/>
          <w:u w:val="none"/>
        </w:rPr>
        <w:t>费用结算标准</w:t>
      </w:r>
      <w:r>
        <w:rPr>
          <w:rFonts w:hint="eastAsia" w:eastAsia="宋体"/>
          <w:color w:val="auto"/>
          <w:highlight w:val="none"/>
          <w:u w:val="none"/>
          <w:lang w:eastAsia="zh-CN"/>
        </w:rPr>
        <w:t>：</w:t>
      </w:r>
      <w:r>
        <w:rPr>
          <w:rFonts w:hint="eastAsia"/>
          <w:color w:val="auto"/>
          <w:szCs w:val="21"/>
          <w:highlight w:val="none"/>
          <w:u w:val="none"/>
        </w:rPr>
        <w:t>按征集文件第七章采购需求中规</w:t>
      </w:r>
      <w:r>
        <w:rPr>
          <w:rFonts w:hint="eastAsia" w:eastAsia="宋体"/>
          <w:color w:val="auto"/>
          <w:szCs w:val="21"/>
          <w:highlight w:val="none"/>
          <w:u w:val="none"/>
          <w:lang w:eastAsia="zh-CN"/>
        </w:rPr>
        <w:t>定的</w:t>
      </w:r>
      <w:r>
        <w:rPr>
          <w:rFonts w:hint="eastAsia"/>
          <w:color w:val="auto"/>
          <w:szCs w:val="21"/>
          <w:highlight w:val="none"/>
          <w:u w:val="none"/>
        </w:rPr>
        <w:t>服务费</w:t>
      </w:r>
      <w:r>
        <w:rPr>
          <w:rFonts w:hint="eastAsia" w:ascii="宋体" w:eastAsia="宋体"/>
          <w:color w:val="auto"/>
          <w:szCs w:val="21"/>
          <w:highlight w:val="none"/>
          <w:u w:val="none"/>
          <w:lang w:val="en-US" w:eastAsia="zh-CN"/>
        </w:rPr>
        <w:t>支付</w:t>
      </w:r>
      <w:r>
        <w:rPr>
          <w:rFonts w:hint="eastAsia"/>
          <w:color w:val="auto"/>
          <w:szCs w:val="21"/>
          <w:highlight w:val="none"/>
          <w:u w:val="none"/>
        </w:rPr>
        <w:t>标准执行。</w:t>
      </w:r>
    </w:p>
    <w:p w14:paraId="7C7024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bCs/>
          <w:color w:val="auto"/>
          <w:szCs w:val="21"/>
          <w:highlight w:val="none"/>
        </w:rPr>
      </w:pPr>
      <w:r>
        <w:rPr>
          <w:rFonts w:hint="eastAsia" w:ascii="宋体" w:eastAsia="宋体"/>
          <w:color w:val="auto"/>
          <w:szCs w:val="21"/>
          <w:highlight w:val="none"/>
          <w:u w:val="none"/>
          <w:lang w:val="en-US" w:eastAsia="zh-CN"/>
        </w:rPr>
        <w:t>6.服务标准：</w:t>
      </w:r>
      <w:r>
        <w:rPr>
          <w:rFonts w:hint="eastAsia"/>
          <w:bCs/>
          <w:color w:val="auto"/>
          <w:szCs w:val="21"/>
          <w:highlight w:val="none"/>
        </w:rPr>
        <w:t>符合国家、省、市及相关行业规定的合格标准，且满足采购人要求。</w:t>
      </w:r>
    </w:p>
    <w:p w14:paraId="1E8938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sectPr>
          <w:pgSz w:w="16838" w:h="11906" w:orient="landscape"/>
          <w:pgMar w:top="1417" w:right="1417" w:bottom="1417" w:left="1417" w:header="777" w:footer="641" w:gutter="0"/>
          <w:cols w:space="720" w:num="1"/>
        </w:sectPr>
      </w:pPr>
      <w:r>
        <w:rPr>
          <w:rFonts w:hint="eastAsia" w:ascii="宋体" w:eastAsia="宋体"/>
          <w:bCs/>
          <w:color w:val="auto"/>
          <w:szCs w:val="21"/>
          <w:highlight w:val="none"/>
          <w:lang w:val="en-US" w:eastAsia="zh-CN"/>
        </w:rPr>
        <w:t>7.</w:t>
      </w:r>
      <w:r>
        <w:rPr>
          <w:rFonts w:hint="eastAsia" w:ascii="宋体" w:eastAsia="宋体"/>
          <w:color w:val="auto"/>
          <w:highlight w:val="none"/>
          <w:lang w:val="en-US" w:eastAsia="zh-CN"/>
        </w:rPr>
        <w:t>入围供应商数量或淘汰率：6家，确定第一阶段入围供应商时，提交响应文件和符合资格条件、实质性要求的供应商应当均不少于2家，淘汰比例一般不得低于20%，且至少淘汰一家供应商。如供应商不足6家，实际选定数量以淘汰后剩余的数量为准。</w:t>
      </w:r>
    </w:p>
    <w:p w14:paraId="3E1C25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8.第二阶段成交供应商的选定：第二阶段成交供应商的选定规则，从第一阶段入围供应商中直接选定。</w:t>
      </w:r>
    </w:p>
    <w:p w14:paraId="46BE4D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9.入围供应商的清退：（1）如乙方公司有工商信息（单位名称、法定代表人等）、项目联系人及联系方式等信息发生变更，须及时向甲方报备，发生变更后30日内未及时报备的直接退出框架协议。</w:t>
      </w:r>
    </w:p>
    <w:p w14:paraId="6604F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（2）如乙方因项目规模及金额较小或因乙方其他原因出现拒绝服务情况，将直接退出框架协议。</w:t>
      </w:r>
    </w:p>
    <w:p w14:paraId="3877CA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10.入围供应商的补充：剩余入围供应商不足入围供应商总数70%且影响框架协议执行的，框架协议有效期内，征集人可以补充征集供应商。征集人补充征集供应商的，补充征集的条件、程序、评审方法和淘汰比例与初次征集相同。补充征集遵守原框架协议的有效期。补充征集期间，原框架协议继续履行。</w:t>
      </w:r>
    </w:p>
    <w:p w14:paraId="2662DF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11.采购资金的支付方式、时间（付款方式）：按每6个月一次付款的付款周期，在第7个月，由服务供应商依据采购人的正式委托书统计前6个月完成的工作量并报采购人，经采购人核实无误后，通知供应商开具正式发票后十个工作日内，由采购人向服务供应商支付该服务周期的服务费（除绩效考核费用以外）的100%。绩效考核费用根据年度考核结果在合同到期后一次性支付。</w:t>
      </w:r>
    </w:p>
    <w:p w14:paraId="38CCBE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olor w:val="auto"/>
          <w:highlight w:val="none"/>
          <w:lang w:val="en-US" w:eastAsia="zh-CN"/>
        </w:rPr>
      </w:pPr>
      <w:r>
        <w:rPr>
          <w:rFonts w:hint="eastAsia" w:ascii="宋体" w:eastAsia="宋体"/>
          <w:color w:val="auto"/>
          <w:highlight w:val="none"/>
          <w:lang w:val="en-US" w:eastAsia="zh-CN"/>
        </w:rPr>
        <w:t>12.</w:t>
      </w:r>
      <w:r>
        <w:rPr>
          <w:rFonts w:hint="eastAsia"/>
          <w:color w:val="auto"/>
          <w:highlight w:val="none"/>
        </w:rPr>
        <w:t>履行合同的地域范围</w:t>
      </w:r>
      <w:r>
        <w:rPr>
          <w:rFonts w:hint="eastAsia" w:eastAsia="宋体"/>
          <w:color w:val="auto"/>
          <w:highlight w:val="none"/>
          <w:lang w:eastAsia="zh-CN"/>
        </w:rPr>
        <w:t>：</w:t>
      </w:r>
      <w:r>
        <w:rPr>
          <w:rFonts w:hint="eastAsia"/>
          <w:color w:val="auto"/>
          <w:szCs w:val="21"/>
          <w:highlight w:val="none"/>
        </w:rPr>
        <w:t>郑州市郑东新区</w:t>
      </w:r>
      <w:r>
        <w:rPr>
          <w:rFonts w:hint="eastAsia" w:eastAsia="宋体"/>
          <w:color w:val="auto"/>
          <w:szCs w:val="21"/>
          <w:highlight w:val="none"/>
          <w:lang w:eastAsia="zh-CN"/>
        </w:rPr>
        <w:t>。</w:t>
      </w:r>
    </w:p>
    <w:p w14:paraId="333FB8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color w:val="auto"/>
          <w:highlight w:val="none"/>
          <w:lang w:val="en-US" w:eastAsia="zh-CN"/>
        </w:rPr>
      </w:pPr>
      <w:r>
        <w:rPr>
          <w:rFonts w:hint="eastAsia" w:ascii="宋体" w:eastAsia="宋体"/>
          <w:color w:val="auto"/>
          <w:highlight w:val="none"/>
          <w:lang w:val="en-US" w:eastAsia="zh-CN"/>
        </w:rPr>
        <w:t>13.用户反馈和评价机制：详见第六章。</w:t>
      </w:r>
    </w:p>
    <w:p w14:paraId="05F6D720">
      <w:pPr>
        <w:numPr>
          <w:ilvl w:val="0"/>
          <w:numId w:val="2"/>
        </w:numPr>
        <w:spacing w:line="360" w:lineRule="auto"/>
        <w:ind w:left="426" w:leftChars="0" w:firstLine="0" w:firstLineChars="0"/>
        <w:rPr>
          <w:rFonts w:hint="eastAsia"/>
          <w:b/>
          <w:bCs/>
          <w:color w:val="auto"/>
          <w:highlight w:val="none"/>
          <w:lang w:val="en-US" w:eastAsia="zh-CN"/>
        </w:rPr>
      </w:pPr>
      <w:r>
        <w:rPr>
          <w:rFonts w:hint="eastAsia" w:ascii="宋体" w:eastAsia="宋体"/>
          <w:b/>
          <w:bCs/>
          <w:color w:val="auto"/>
          <w:highlight w:val="none"/>
          <w:lang w:val="en-US" w:eastAsia="zh-CN"/>
        </w:rPr>
        <w:t>其他要求</w:t>
      </w:r>
    </w:p>
    <w:p w14:paraId="13F029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ascii="宋体" w:eastAsia="宋体"/>
          <w:color w:val="auto"/>
          <w:highlight w:val="none"/>
          <w:lang w:val="en-US" w:eastAsia="zh-CN"/>
        </w:rPr>
        <w:t>1.供应商应针对本项目采购需求，编制服务方案，可从以下方面进行编制：</w:t>
      </w:r>
    </w:p>
    <w:p w14:paraId="1A4D8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color w:val="auto"/>
          <w:highlight w:val="none"/>
          <w:lang w:val="en-US" w:eastAsia="zh-CN"/>
        </w:rPr>
      </w:pPr>
      <w:r>
        <w:rPr>
          <w:rFonts w:hint="eastAsia" w:ascii="宋体" w:eastAsia="宋体"/>
          <w:color w:val="auto"/>
          <w:highlight w:val="none"/>
          <w:lang w:val="en-US" w:eastAsia="zh-CN"/>
        </w:rPr>
        <w:t>（1）对本项目法律服务内容的理解和认识，包含但不限于</w:t>
      </w:r>
      <w:r>
        <w:rPr>
          <w:rFonts w:hint="eastAsia" w:ascii="宋体" w:hAnsi="宋体" w:eastAsia="宋体" w:cs="宋体"/>
          <w:b w:val="0"/>
          <w:bCs w:val="0"/>
          <w:color w:val="auto"/>
          <w:sz w:val="21"/>
          <w:szCs w:val="21"/>
          <w:highlight w:val="none"/>
          <w:lang w:eastAsia="zh-CN"/>
        </w:rPr>
        <w:t>服务对象范围</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核心服务事项</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服务管理要求</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服务费用标准</w:t>
      </w:r>
      <w:r>
        <w:rPr>
          <w:rFonts w:hint="eastAsia"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服务量化指标</w:t>
      </w:r>
      <w:r>
        <w:rPr>
          <w:rFonts w:hint="eastAsia" w:cs="宋体"/>
          <w:color w:val="auto"/>
          <w:highlight w:val="none"/>
          <w:lang w:val="en-US" w:eastAsia="zh-CN"/>
        </w:rPr>
        <w:t>。</w:t>
      </w:r>
    </w:p>
    <w:p w14:paraId="2F0FA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color w:val="auto"/>
          <w:highlight w:val="none"/>
          <w:lang w:val="en-US" w:eastAsia="zh-CN"/>
        </w:rPr>
      </w:pPr>
      <w:r>
        <w:rPr>
          <w:rFonts w:hint="eastAsia" w:ascii="宋体" w:eastAsia="宋体"/>
          <w:color w:val="auto"/>
          <w:highlight w:val="none"/>
          <w:lang w:val="en-US" w:eastAsia="zh-CN"/>
        </w:rPr>
        <w:t>（2）政府法律服务实施方案，包含但不限于</w:t>
      </w:r>
      <w:r>
        <w:rPr>
          <w:rFonts w:hint="eastAsia" w:ascii="宋体" w:hAnsi="宋体" w:eastAsia="宋体" w:cs="宋体"/>
          <w:color w:val="auto"/>
          <w:highlight w:val="none"/>
          <w:lang w:val="en-US" w:eastAsia="zh-CN"/>
        </w:rPr>
        <w:t>资料收集</w:t>
      </w:r>
      <w:r>
        <w:rPr>
          <w:rFonts w:hint="eastAsia" w:cs="宋体"/>
          <w:color w:val="auto"/>
          <w:highlight w:val="none"/>
          <w:lang w:val="en-US" w:eastAsia="zh-CN"/>
        </w:rPr>
        <w:t>、</w:t>
      </w:r>
      <w:r>
        <w:rPr>
          <w:rFonts w:hint="eastAsia" w:ascii="宋体" w:hAnsi="宋体" w:eastAsia="宋体" w:cs="宋体"/>
          <w:color w:val="auto"/>
          <w:highlight w:val="none"/>
          <w:lang w:val="en-US" w:eastAsia="zh-CN"/>
        </w:rPr>
        <w:t>法律检索</w:t>
      </w:r>
      <w:r>
        <w:rPr>
          <w:rFonts w:hint="eastAsia" w:cs="宋体"/>
          <w:color w:val="auto"/>
          <w:highlight w:val="none"/>
          <w:lang w:val="en-US" w:eastAsia="zh-CN"/>
        </w:rPr>
        <w:t>、</w:t>
      </w:r>
      <w:r>
        <w:rPr>
          <w:rFonts w:hint="eastAsia" w:ascii="宋体" w:hAnsi="宋体" w:eastAsia="宋体" w:cs="宋体"/>
          <w:color w:val="auto"/>
          <w:highlight w:val="none"/>
          <w:lang w:val="en-US" w:eastAsia="zh-CN"/>
        </w:rPr>
        <w:t>风险评估</w:t>
      </w:r>
      <w:r>
        <w:rPr>
          <w:rFonts w:hint="eastAsia" w:cs="宋体"/>
          <w:color w:val="auto"/>
          <w:highlight w:val="none"/>
          <w:lang w:val="en-US" w:eastAsia="zh-CN"/>
        </w:rPr>
        <w:t>、</w:t>
      </w:r>
      <w:r>
        <w:rPr>
          <w:rFonts w:hint="eastAsia" w:ascii="宋体" w:hAnsi="宋体" w:eastAsia="宋体" w:cs="宋体"/>
          <w:color w:val="auto"/>
          <w:highlight w:val="none"/>
          <w:lang w:val="en-US" w:eastAsia="zh-CN"/>
        </w:rPr>
        <w:t>出具审查意见</w:t>
      </w:r>
      <w:r>
        <w:rPr>
          <w:rFonts w:hint="eastAsia" w:cs="宋体"/>
          <w:color w:val="auto"/>
          <w:highlight w:val="none"/>
          <w:lang w:val="en-US" w:eastAsia="zh-CN"/>
        </w:rPr>
        <w:t>。</w:t>
      </w:r>
    </w:p>
    <w:p w14:paraId="73E977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color w:val="auto"/>
          <w:highlight w:val="none"/>
          <w:lang w:val="en-US" w:eastAsia="zh-CN"/>
        </w:rPr>
      </w:pPr>
      <w:r>
        <w:rPr>
          <w:rFonts w:hint="eastAsia" w:cs="宋体"/>
          <w:color w:val="auto"/>
          <w:highlight w:val="none"/>
          <w:lang w:val="en-US" w:eastAsia="zh-CN"/>
        </w:rPr>
        <w:t>（3）法律服务人员配备计划，</w:t>
      </w:r>
      <w:r>
        <w:rPr>
          <w:rFonts w:hint="eastAsia" w:ascii="宋体" w:eastAsia="宋体"/>
          <w:color w:val="auto"/>
          <w:highlight w:val="none"/>
          <w:lang w:val="en-US" w:eastAsia="zh-CN"/>
        </w:rPr>
        <w:t>包含但不限于</w:t>
      </w:r>
      <w:r>
        <w:rPr>
          <w:rFonts w:hint="eastAsia" w:ascii="宋体" w:hAnsi="宋体" w:eastAsia="宋体" w:cs="宋体"/>
          <w:color w:val="auto"/>
          <w:highlight w:val="none"/>
          <w:lang w:val="en-US" w:eastAsia="zh-CN"/>
        </w:rPr>
        <w:t>项目团队组织架构</w:t>
      </w:r>
      <w:r>
        <w:rPr>
          <w:rFonts w:hint="eastAsia" w:cs="宋体"/>
          <w:color w:val="auto"/>
          <w:highlight w:val="none"/>
          <w:lang w:val="en-US" w:eastAsia="zh-CN"/>
        </w:rPr>
        <w:t>、</w:t>
      </w:r>
      <w:r>
        <w:rPr>
          <w:rFonts w:hint="eastAsia" w:ascii="宋体" w:hAnsi="宋体" w:eastAsia="宋体" w:cs="宋体"/>
          <w:color w:val="auto"/>
          <w:highlight w:val="none"/>
          <w:lang w:val="en-US" w:eastAsia="zh-CN"/>
        </w:rPr>
        <w:t>岗位设置与职责</w:t>
      </w:r>
      <w:r>
        <w:rPr>
          <w:rFonts w:hint="eastAsia" w:cs="宋体"/>
          <w:color w:val="auto"/>
          <w:highlight w:val="none"/>
          <w:lang w:val="en-US" w:eastAsia="zh-CN"/>
        </w:rPr>
        <w:t>、</w:t>
      </w:r>
      <w:r>
        <w:rPr>
          <w:rFonts w:hint="eastAsia" w:ascii="宋体" w:hAnsi="宋体" w:eastAsia="宋体" w:cs="宋体"/>
          <w:color w:val="auto"/>
          <w:highlight w:val="none"/>
          <w:lang w:val="en-US" w:eastAsia="zh-CN"/>
        </w:rPr>
        <w:t>人员配置依据与动态调整</w:t>
      </w:r>
      <w:r>
        <w:rPr>
          <w:rFonts w:hint="eastAsia" w:cs="宋体"/>
          <w:color w:val="auto"/>
          <w:highlight w:val="none"/>
          <w:lang w:val="en-US" w:eastAsia="zh-CN"/>
        </w:rPr>
        <w:t>、</w:t>
      </w:r>
      <w:r>
        <w:rPr>
          <w:rFonts w:hint="eastAsia" w:ascii="宋体" w:hAnsi="宋体" w:eastAsia="宋体" w:cs="宋体"/>
          <w:color w:val="auto"/>
          <w:highlight w:val="none"/>
          <w:lang w:val="en-US" w:eastAsia="zh-CN"/>
        </w:rPr>
        <w:t>人员稳定性与替换保障</w:t>
      </w:r>
      <w:r>
        <w:rPr>
          <w:rFonts w:hint="eastAsia" w:cs="宋体"/>
          <w:color w:val="auto"/>
          <w:highlight w:val="none"/>
          <w:lang w:val="en-US" w:eastAsia="zh-CN"/>
        </w:rPr>
        <w:t>。</w:t>
      </w:r>
    </w:p>
    <w:p w14:paraId="10BB92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b w:val="0"/>
          <w:bCs w:val="0"/>
          <w:color w:val="auto"/>
          <w:sz w:val="21"/>
          <w:szCs w:val="21"/>
          <w:highlight w:val="none"/>
          <w:lang w:eastAsia="zh-CN"/>
        </w:rPr>
      </w:pPr>
      <w:r>
        <w:rPr>
          <w:rFonts w:hint="eastAsia" w:cs="宋体"/>
          <w:color w:val="auto"/>
          <w:highlight w:val="none"/>
          <w:lang w:val="en-US" w:eastAsia="zh-CN"/>
        </w:rPr>
        <w:t>（4）</w:t>
      </w:r>
      <w:r>
        <w:rPr>
          <w:rFonts w:hint="eastAsia"/>
          <w:b w:val="0"/>
          <w:bCs w:val="0"/>
          <w:color w:val="auto"/>
          <w:kern w:val="0"/>
          <w:szCs w:val="21"/>
          <w:highlight w:val="none"/>
        </w:rPr>
        <w:t>政府法律服务质量保证措施</w:t>
      </w:r>
      <w:r>
        <w:rPr>
          <w:rFonts w:hint="eastAsia" w:eastAsia="宋体"/>
          <w:b w:val="0"/>
          <w:bCs w:val="0"/>
          <w:color w:val="auto"/>
          <w:kern w:val="0"/>
          <w:szCs w:val="21"/>
          <w:highlight w:val="none"/>
          <w:lang w:eastAsia="zh-CN"/>
        </w:rPr>
        <w:t>，</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法律意见审核机制</w:t>
      </w:r>
      <w:r>
        <w:rPr>
          <w:rFonts w:hint="eastAsia" w:cs="宋体"/>
          <w:color w:val="auto"/>
          <w:highlight w:val="none"/>
          <w:lang w:val="en-US" w:eastAsia="zh-CN"/>
        </w:rPr>
        <w:t>、</w:t>
      </w:r>
      <w:r>
        <w:rPr>
          <w:rFonts w:hint="eastAsia" w:ascii="宋体" w:hAnsi="宋体" w:eastAsia="宋体" w:cs="宋体"/>
          <w:color w:val="auto"/>
          <w:highlight w:val="none"/>
          <w:lang w:val="en-US" w:eastAsia="zh-CN"/>
        </w:rPr>
        <w:t>服务满意度调查</w:t>
      </w:r>
      <w:r>
        <w:rPr>
          <w:rFonts w:hint="eastAsia" w:cs="宋体"/>
          <w:color w:val="auto"/>
          <w:highlight w:val="none"/>
          <w:lang w:val="en-US" w:eastAsia="zh-CN"/>
        </w:rPr>
        <w:t>、</w:t>
      </w:r>
      <w:r>
        <w:rPr>
          <w:rFonts w:hint="eastAsia" w:ascii="宋体" w:hAnsi="宋体" w:eastAsia="宋体" w:cs="宋体"/>
          <w:color w:val="auto"/>
          <w:highlight w:val="none"/>
          <w:lang w:val="en-US" w:eastAsia="zh-CN"/>
        </w:rPr>
        <w:t>定期工作会议</w:t>
      </w:r>
      <w:r>
        <w:rPr>
          <w:rFonts w:hint="eastAsia" w:cs="宋体"/>
          <w:color w:val="auto"/>
          <w:highlight w:val="none"/>
          <w:lang w:val="en-US" w:eastAsia="zh-CN"/>
        </w:rPr>
        <w:t>、</w:t>
      </w:r>
      <w:r>
        <w:rPr>
          <w:rFonts w:hint="eastAsia" w:ascii="宋体" w:hAnsi="宋体" w:eastAsia="宋体" w:cs="宋体"/>
          <w:b w:val="0"/>
          <w:bCs w:val="0"/>
          <w:color w:val="auto"/>
          <w:sz w:val="21"/>
          <w:szCs w:val="21"/>
          <w:highlight w:val="none"/>
          <w:lang w:eastAsia="zh-CN"/>
        </w:rPr>
        <w:t>质量监督与反馈机制</w:t>
      </w:r>
      <w:r>
        <w:rPr>
          <w:rFonts w:hint="eastAsia" w:cs="宋体"/>
          <w:b w:val="0"/>
          <w:bCs w:val="0"/>
          <w:color w:val="auto"/>
          <w:sz w:val="21"/>
          <w:szCs w:val="21"/>
          <w:highlight w:val="none"/>
          <w:lang w:eastAsia="zh-CN"/>
        </w:rPr>
        <w:t>。</w:t>
      </w:r>
    </w:p>
    <w:p w14:paraId="3CDBA7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b w:val="0"/>
          <w:bCs w:val="0"/>
          <w:color w:val="auto"/>
          <w:sz w:val="21"/>
          <w:szCs w:val="21"/>
          <w:highlight w:val="none"/>
          <w:lang w:eastAsia="zh-CN"/>
        </w:rPr>
      </w:pP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5</w:t>
      </w:r>
      <w:r>
        <w:rPr>
          <w:rFonts w:hint="eastAsia" w:cs="宋体"/>
          <w:b w:val="0"/>
          <w:bCs w:val="0"/>
          <w:color w:val="auto"/>
          <w:sz w:val="21"/>
          <w:szCs w:val="21"/>
          <w:highlight w:val="none"/>
          <w:lang w:eastAsia="zh-CN"/>
        </w:rPr>
        <w:t>）</w:t>
      </w:r>
      <w:r>
        <w:rPr>
          <w:rFonts w:hint="eastAsia" w:ascii="宋体" w:eastAsia="宋体"/>
          <w:b w:val="0"/>
          <w:bCs w:val="0"/>
          <w:color w:val="auto"/>
          <w:kern w:val="0"/>
          <w:szCs w:val="21"/>
          <w:highlight w:val="none"/>
          <w:lang w:val="en-US" w:eastAsia="zh-CN"/>
        </w:rPr>
        <w:t>得</w:t>
      </w:r>
      <w:r>
        <w:rPr>
          <w:rFonts w:hint="eastAsia"/>
          <w:b w:val="0"/>
          <w:bCs w:val="0"/>
          <w:color w:val="auto"/>
          <w:kern w:val="0"/>
          <w:szCs w:val="21"/>
          <w:highlight w:val="none"/>
        </w:rPr>
        <w:t>重难点分析</w:t>
      </w:r>
      <w:r>
        <w:rPr>
          <w:rFonts w:hint="eastAsia" w:eastAsia="宋体"/>
          <w:b w:val="0"/>
          <w:bCs w:val="0"/>
          <w:color w:val="auto"/>
          <w:kern w:val="0"/>
          <w:szCs w:val="21"/>
          <w:highlight w:val="none"/>
          <w:lang w:eastAsia="zh-CN"/>
        </w:rPr>
        <w:t>，</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法律实务层面</w:t>
      </w:r>
      <w:r>
        <w:rPr>
          <w:rFonts w:hint="eastAsia" w:cs="宋体"/>
          <w:color w:val="auto"/>
          <w:highlight w:val="none"/>
          <w:lang w:val="en-US" w:eastAsia="zh-CN"/>
        </w:rPr>
        <w:t>、</w:t>
      </w:r>
      <w:r>
        <w:rPr>
          <w:rFonts w:hint="eastAsia" w:ascii="宋体" w:hAnsi="宋体" w:eastAsia="宋体" w:cs="宋体"/>
          <w:color w:val="auto"/>
          <w:highlight w:val="none"/>
          <w:lang w:val="en-US" w:eastAsia="zh-CN"/>
        </w:rPr>
        <w:t>服务管理层面</w:t>
      </w:r>
      <w:r>
        <w:rPr>
          <w:rFonts w:hint="eastAsia" w:cs="宋体"/>
          <w:color w:val="auto"/>
          <w:highlight w:val="none"/>
          <w:lang w:val="en-US" w:eastAsia="zh-CN"/>
        </w:rPr>
        <w:t>、</w:t>
      </w:r>
      <w:r>
        <w:rPr>
          <w:rFonts w:hint="eastAsia" w:ascii="宋体" w:hAnsi="宋体" w:eastAsia="宋体" w:cs="宋体"/>
          <w:color w:val="auto"/>
          <w:highlight w:val="none"/>
          <w:lang w:val="en-US" w:eastAsia="zh-CN"/>
        </w:rPr>
        <w:t>政策衔接与合规性</w:t>
      </w:r>
      <w:r>
        <w:rPr>
          <w:rFonts w:hint="eastAsia" w:cs="宋体"/>
          <w:color w:val="auto"/>
          <w:highlight w:val="none"/>
          <w:lang w:val="en-US" w:eastAsia="zh-CN"/>
        </w:rPr>
        <w:t>、</w:t>
      </w:r>
      <w:r>
        <w:rPr>
          <w:rFonts w:hint="eastAsia" w:ascii="宋体" w:hAnsi="宋体" w:eastAsia="宋体" w:cs="宋体"/>
          <w:b w:val="0"/>
          <w:bCs w:val="0"/>
          <w:color w:val="auto"/>
          <w:sz w:val="21"/>
          <w:szCs w:val="21"/>
          <w:highlight w:val="none"/>
          <w:lang w:eastAsia="zh-CN"/>
        </w:rPr>
        <w:t>服务效果的量化评估与反馈</w:t>
      </w:r>
      <w:r>
        <w:rPr>
          <w:rFonts w:hint="eastAsia" w:cs="宋体"/>
          <w:b w:val="0"/>
          <w:bCs w:val="0"/>
          <w:color w:val="auto"/>
          <w:sz w:val="21"/>
          <w:szCs w:val="21"/>
          <w:highlight w:val="none"/>
          <w:lang w:eastAsia="zh-CN"/>
        </w:rPr>
        <w:t>。</w:t>
      </w:r>
    </w:p>
    <w:p w14:paraId="1344E9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color w:val="auto"/>
          <w:highlight w:val="none"/>
          <w:lang w:val="en-US" w:eastAsia="zh-CN"/>
        </w:rPr>
      </w:pPr>
      <w:r>
        <w:rPr>
          <w:rFonts w:hint="eastAsia" w:cs="宋体"/>
          <w:b w:val="0"/>
          <w:bCs w:val="0"/>
          <w:color w:val="auto"/>
          <w:sz w:val="21"/>
          <w:szCs w:val="21"/>
          <w:highlight w:val="none"/>
          <w:lang w:eastAsia="zh-CN"/>
        </w:rPr>
        <w:t>（</w:t>
      </w:r>
      <w:r>
        <w:rPr>
          <w:rFonts w:hint="eastAsia" w:cs="宋体"/>
          <w:b w:val="0"/>
          <w:bCs w:val="0"/>
          <w:color w:val="auto"/>
          <w:sz w:val="21"/>
          <w:szCs w:val="21"/>
          <w:highlight w:val="none"/>
          <w:lang w:val="en-US" w:eastAsia="zh-CN"/>
        </w:rPr>
        <w:t>6</w:t>
      </w:r>
      <w:r>
        <w:rPr>
          <w:rFonts w:hint="eastAsia" w:cs="宋体"/>
          <w:b w:val="0"/>
          <w:bCs w:val="0"/>
          <w:color w:val="auto"/>
          <w:sz w:val="21"/>
          <w:szCs w:val="21"/>
          <w:highlight w:val="none"/>
          <w:lang w:eastAsia="zh-CN"/>
        </w:rPr>
        <w:t>）</w:t>
      </w:r>
      <w:r>
        <w:rPr>
          <w:rFonts w:hint="eastAsia"/>
          <w:b w:val="0"/>
          <w:bCs w:val="0"/>
          <w:color w:val="auto"/>
          <w:kern w:val="0"/>
          <w:szCs w:val="21"/>
          <w:highlight w:val="none"/>
        </w:rPr>
        <w:t>进度保障措施</w:t>
      </w:r>
      <w:r>
        <w:rPr>
          <w:rFonts w:hint="eastAsia" w:eastAsia="宋体"/>
          <w:b w:val="0"/>
          <w:bCs w:val="0"/>
          <w:color w:val="auto"/>
          <w:kern w:val="0"/>
          <w:szCs w:val="21"/>
          <w:highlight w:val="none"/>
          <w:lang w:eastAsia="zh-CN"/>
        </w:rPr>
        <w:t>，</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进度计划管理</w:t>
      </w:r>
      <w:r>
        <w:rPr>
          <w:rFonts w:hint="eastAsia" w:cs="宋体"/>
          <w:color w:val="auto"/>
          <w:highlight w:val="none"/>
          <w:lang w:val="en-US" w:eastAsia="zh-CN"/>
        </w:rPr>
        <w:t>、</w:t>
      </w:r>
      <w:r>
        <w:rPr>
          <w:rFonts w:hint="eastAsia" w:ascii="宋体" w:hAnsi="宋体" w:eastAsia="宋体" w:cs="宋体"/>
          <w:color w:val="auto"/>
          <w:highlight w:val="none"/>
          <w:lang w:val="en-US" w:eastAsia="zh-CN"/>
        </w:rPr>
        <w:t>团队协同与资源保障</w:t>
      </w:r>
      <w:r>
        <w:rPr>
          <w:rFonts w:hint="eastAsia" w:cs="宋体"/>
          <w:color w:val="auto"/>
          <w:highlight w:val="none"/>
          <w:lang w:val="en-US" w:eastAsia="zh-CN"/>
        </w:rPr>
        <w:t>、</w:t>
      </w:r>
      <w:r>
        <w:rPr>
          <w:rFonts w:hint="eastAsia" w:ascii="宋体" w:hAnsi="宋体" w:eastAsia="宋体" w:cs="宋体"/>
          <w:color w:val="auto"/>
          <w:highlight w:val="none"/>
          <w:lang w:val="en-US" w:eastAsia="zh-CN"/>
        </w:rPr>
        <w:t>服务流程标准化</w:t>
      </w:r>
      <w:r>
        <w:rPr>
          <w:rFonts w:hint="eastAsia" w:cs="宋体"/>
          <w:color w:val="auto"/>
          <w:highlight w:val="none"/>
          <w:lang w:val="en-US" w:eastAsia="zh-CN"/>
        </w:rPr>
        <w:t>、</w:t>
      </w:r>
      <w:r>
        <w:rPr>
          <w:rFonts w:hint="eastAsia" w:ascii="宋体" w:hAnsi="宋体" w:eastAsia="宋体" w:cs="宋体"/>
          <w:color w:val="auto"/>
          <w:highlight w:val="none"/>
          <w:lang w:val="en-US" w:eastAsia="zh-CN"/>
        </w:rPr>
        <w:t>应急响应与特殊情况处理</w:t>
      </w:r>
      <w:r>
        <w:rPr>
          <w:rFonts w:hint="eastAsia" w:cs="宋体"/>
          <w:color w:val="auto"/>
          <w:highlight w:val="none"/>
          <w:lang w:val="en-US" w:eastAsia="zh-CN"/>
        </w:rPr>
        <w:t>。</w:t>
      </w:r>
    </w:p>
    <w:p w14:paraId="31F90D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b w:val="0"/>
          <w:bCs w:val="0"/>
          <w:color w:val="auto"/>
          <w:sz w:val="21"/>
          <w:szCs w:val="21"/>
          <w:highlight w:val="none"/>
          <w:lang w:val="en-US" w:eastAsia="zh-CN"/>
        </w:rPr>
      </w:pPr>
      <w:r>
        <w:rPr>
          <w:rFonts w:hint="eastAsia" w:cs="宋体"/>
          <w:color w:val="auto"/>
          <w:highlight w:val="none"/>
          <w:lang w:val="en-US" w:eastAsia="zh-CN"/>
        </w:rPr>
        <w:t>（7）政府法律服务内控制度，</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服务流程控制制度</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质量内控控制制度</w:t>
      </w:r>
      <w:r>
        <w:rPr>
          <w:rFonts w:hint="eastAsia" w:cs="宋体"/>
          <w:color w:val="auto"/>
          <w:highlight w:val="none"/>
          <w:lang w:val="en-US" w:eastAsia="zh-CN"/>
        </w:rPr>
        <w:t>、</w:t>
      </w:r>
      <w:r>
        <w:rPr>
          <w:rFonts w:hint="eastAsia" w:ascii="宋体" w:hAnsi="宋体" w:eastAsia="宋体" w:cs="宋体"/>
          <w:color w:val="auto"/>
          <w:highlight w:val="none"/>
          <w:lang w:val="en-US" w:eastAsia="zh-CN"/>
        </w:rPr>
        <w:t>沟通与协同制度</w:t>
      </w:r>
      <w:r>
        <w:rPr>
          <w:rFonts w:hint="eastAsia" w:cs="宋体"/>
          <w:color w:val="auto"/>
          <w:highlight w:val="none"/>
          <w:lang w:val="en-US" w:eastAsia="zh-CN"/>
        </w:rPr>
        <w:t>、</w:t>
      </w:r>
      <w:r>
        <w:rPr>
          <w:rFonts w:hint="eastAsia" w:ascii="宋体" w:hAnsi="宋体" w:eastAsia="宋体" w:cs="宋体"/>
          <w:b w:val="0"/>
          <w:bCs w:val="0"/>
          <w:color w:val="auto"/>
          <w:sz w:val="21"/>
          <w:szCs w:val="21"/>
          <w:highlight w:val="none"/>
          <w:lang w:val="en-US" w:eastAsia="zh-CN"/>
        </w:rPr>
        <w:t>监督与改进机制</w:t>
      </w:r>
      <w:r>
        <w:rPr>
          <w:rFonts w:hint="eastAsia" w:cs="宋体"/>
          <w:b w:val="0"/>
          <w:bCs w:val="0"/>
          <w:color w:val="auto"/>
          <w:sz w:val="21"/>
          <w:szCs w:val="21"/>
          <w:highlight w:val="none"/>
          <w:lang w:val="en-US" w:eastAsia="zh-CN"/>
        </w:rPr>
        <w:t>。</w:t>
      </w:r>
    </w:p>
    <w:p w14:paraId="6276D0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（8）政府法律服务风险防控措施，</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法律风险预警机制</w:t>
      </w:r>
      <w:r>
        <w:rPr>
          <w:rFonts w:hint="eastAsia" w:cs="宋体"/>
          <w:color w:val="auto"/>
          <w:highlight w:val="none"/>
          <w:lang w:val="en-US" w:eastAsia="zh-CN"/>
        </w:rPr>
        <w:t>、</w:t>
      </w:r>
      <w:r>
        <w:rPr>
          <w:rFonts w:hint="eastAsia" w:ascii="宋体" w:hAnsi="宋体" w:eastAsia="宋体" w:cs="宋体"/>
          <w:color w:val="auto"/>
          <w:highlight w:val="none"/>
          <w:lang w:val="en-US" w:eastAsia="zh-CN"/>
        </w:rPr>
        <w:t>法律合规性审查制度</w:t>
      </w:r>
      <w:r>
        <w:rPr>
          <w:rFonts w:hint="eastAsia" w:cs="宋体"/>
          <w:color w:val="auto"/>
          <w:highlight w:val="none"/>
          <w:lang w:val="en-US" w:eastAsia="zh-CN"/>
        </w:rPr>
        <w:t>、</w:t>
      </w:r>
      <w:r>
        <w:rPr>
          <w:rFonts w:hint="eastAsia" w:ascii="宋体" w:hAnsi="宋体" w:eastAsia="宋体" w:cs="宋体"/>
          <w:color w:val="auto"/>
          <w:highlight w:val="none"/>
          <w:lang w:val="en-US" w:eastAsia="zh-CN"/>
        </w:rPr>
        <w:t>责任隔离机制</w:t>
      </w:r>
      <w:r>
        <w:rPr>
          <w:rFonts w:hint="eastAsia" w:cs="宋体"/>
          <w:color w:val="auto"/>
          <w:highlight w:val="none"/>
          <w:lang w:val="en-US" w:eastAsia="zh-CN"/>
        </w:rPr>
        <w:t>、</w:t>
      </w:r>
      <w:r>
        <w:rPr>
          <w:rFonts w:hint="default" w:ascii="宋体" w:hAnsi="宋体" w:eastAsia="宋体" w:cs="宋体"/>
          <w:color w:val="auto"/>
          <w:highlight w:val="none"/>
          <w:lang w:val="en-US" w:eastAsia="zh-CN"/>
        </w:rPr>
        <w:t>信息保密风险防控</w:t>
      </w:r>
      <w:r>
        <w:rPr>
          <w:rFonts w:hint="eastAsia" w:cs="宋体"/>
          <w:color w:val="auto"/>
          <w:highlight w:val="none"/>
          <w:lang w:val="en-US" w:eastAsia="zh-CN"/>
        </w:rPr>
        <w:t>。</w:t>
      </w:r>
    </w:p>
    <w:p w14:paraId="27117D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s="宋体"/>
          <w:color w:val="auto"/>
          <w:highlight w:val="none"/>
          <w:lang w:val="en-US" w:eastAsia="zh-CN"/>
        </w:rPr>
      </w:pPr>
      <w:r>
        <w:rPr>
          <w:rFonts w:hint="eastAsia" w:cs="宋体"/>
          <w:b w:val="0"/>
          <w:bCs w:val="0"/>
          <w:color w:val="auto"/>
          <w:sz w:val="21"/>
          <w:szCs w:val="21"/>
          <w:highlight w:val="none"/>
          <w:lang w:val="en-US" w:eastAsia="zh-CN"/>
        </w:rPr>
        <w:t>（9）档案管理措施，</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档案分类与归档范围</w:t>
      </w:r>
      <w:r>
        <w:rPr>
          <w:rFonts w:hint="eastAsia" w:cs="宋体"/>
          <w:color w:val="auto"/>
          <w:highlight w:val="none"/>
          <w:lang w:val="en-US" w:eastAsia="zh-CN"/>
        </w:rPr>
        <w:t>、</w:t>
      </w:r>
      <w:r>
        <w:rPr>
          <w:rFonts w:hint="eastAsia" w:ascii="宋体" w:hAnsi="宋体" w:eastAsia="宋体" w:cs="宋体"/>
          <w:color w:val="auto"/>
          <w:highlight w:val="none"/>
          <w:lang w:val="en-US" w:eastAsia="zh-CN"/>
        </w:rPr>
        <w:t>档案收集与整理规范</w:t>
      </w:r>
      <w:r>
        <w:rPr>
          <w:rFonts w:hint="eastAsia" w:cs="宋体"/>
          <w:color w:val="auto"/>
          <w:highlight w:val="none"/>
          <w:lang w:val="en-US" w:eastAsia="zh-CN"/>
        </w:rPr>
        <w:t>、</w:t>
      </w:r>
      <w:r>
        <w:rPr>
          <w:rFonts w:hint="eastAsia" w:ascii="宋体" w:hAnsi="宋体" w:eastAsia="宋体" w:cs="宋体"/>
          <w:color w:val="auto"/>
          <w:highlight w:val="none"/>
          <w:lang w:val="en-US" w:eastAsia="zh-CN"/>
        </w:rPr>
        <w:t>档案保管制度</w:t>
      </w:r>
      <w:r>
        <w:rPr>
          <w:rFonts w:hint="eastAsia" w:cs="宋体"/>
          <w:color w:val="auto"/>
          <w:highlight w:val="none"/>
          <w:lang w:val="en-US" w:eastAsia="zh-CN"/>
        </w:rPr>
        <w:t>。</w:t>
      </w:r>
    </w:p>
    <w:p w14:paraId="089DC1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color w:val="auto"/>
          <w:highlight w:val="none"/>
          <w:lang w:val="en-US" w:eastAsia="zh-CN"/>
        </w:rPr>
      </w:pPr>
      <w:r>
        <w:rPr>
          <w:rFonts w:hint="eastAsia" w:cs="宋体"/>
          <w:color w:val="auto"/>
          <w:highlight w:val="none"/>
          <w:lang w:val="en-US" w:eastAsia="zh-CN"/>
        </w:rPr>
        <w:t>（10）合理化建议，</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含但不限于服务机制优化建议、法律风险防控建议、法治能力建设建议。</w:t>
      </w:r>
    </w:p>
    <w:p w14:paraId="741B61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pPr>
      <w:r>
        <w:rPr>
          <w:rFonts w:hint="eastAsia" w:ascii="宋体" w:eastAsia="宋体"/>
          <w:color w:val="auto"/>
          <w:highlight w:val="none"/>
          <w:lang w:val="en-US" w:eastAsia="zh-CN"/>
        </w:rPr>
        <w:t>（11）其他承诺及措施，</w:t>
      </w:r>
      <w:r>
        <w:rPr>
          <w:rFonts w:hint="eastAsia" w:ascii="宋体" w:eastAsia="宋体"/>
          <w:b w:val="0"/>
          <w:bCs w:val="0"/>
          <w:color w:val="auto"/>
          <w:highlight w:val="none"/>
          <w:lang w:val="en-US" w:eastAsia="zh-CN"/>
        </w:rPr>
        <w:t>包</w:t>
      </w:r>
      <w:r>
        <w:rPr>
          <w:rFonts w:hint="eastAsia" w:ascii="宋体" w:eastAsia="宋体"/>
          <w:color w:val="auto"/>
          <w:highlight w:val="none"/>
          <w:lang w:val="en-US" w:eastAsia="zh-CN"/>
        </w:rPr>
        <w:t>含但不限于</w:t>
      </w:r>
      <w:r>
        <w:rPr>
          <w:rFonts w:hint="eastAsia" w:ascii="宋体" w:hAnsi="宋体" w:eastAsia="宋体" w:cs="宋体"/>
          <w:color w:val="auto"/>
          <w:highlight w:val="none"/>
          <w:lang w:val="en-US" w:eastAsia="zh-CN"/>
        </w:rPr>
        <w:t>人员保障</w:t>
      </w:r>
      <w:r>
        <w:rPr>
          <w:rFonts w:hint="eastAsia" w:cs="宋体"/>
          <w:color w:val="auto"/>
          <w:highlight w:val="none"/>
          <w:lang w:val="en-US" w:eastAsia="zh-CN"/>
        </w:rPr>
        <w:t>承诺及措施、</w:t>
      </w:r>
      <w:r>
        <w:rPr>
          <w:rFonts w:hint="eastAsia" w:ascii="宋体" w:hAnsi="宋体" w:eastAsia="宋体" w:cs="宋体"/>
          <w:color w:val="auto"/>
          <w:highlight w:val="none"/>
          <w:lang w:val="en-US" w:eastAsia="zh-CN"/>
        </w:rPr>
        <w:t>应急响应</w:t>
      </w:r>
      <w:r>
        <w:rPr>
          <w:rFonts w:hint="eastAsia" w:cs="宋体"/>
          <w:color w:val="auto"/>
          <w:highlight w:val="none"/>
          <w:lang w:val="en-US" w:eastAsia="zh-CN"/>
        </w:rPr>
        <w:t>承诺及措施、</w:t>
      </w:r>
      <w:r>
        <w:rPr>
          <w:rFonts w:hint="eastAsia" w:ascii="宋体" w:hAnsi="宋体" w:eastAsia="宋体" w:cs="宋体"/>
          <w:color w:val="auto"/>
          <w:highlight w:val="none"/>
        </w:rPr>
        <w:t>与拟投入人员</w:t>
      </w:r>
      <w:r>
        <w:rPr>
          <w:rFonts w:hint="eastAsia" w:cs="宋体"/>
          <w:color w:val="auto"/>
          <w:highlight w:val="none"/>
          <w:lang w:val="en-US" w:eastAsia="zh-CN"/>
        </w:rPr>
        <w:t>之间不存在廉政风险</w:t>
      </w:r>
      <w:r>
        <w:rPr>
          <w:rFonts w:hint="eastAsia" w:ascii="宋体" w:hAnsi="宋体" w:eastAsia="宋体" w:cs="宋体"/>
          <w:color w:val="auto"/>
          <w:highlight w:val="none"/>
        </w:rPr>
        <w:t>，能够实事求是</w:t>
      </w:r>
      <w:r>
        <w:rPr>
          <w:rFonts w:hint="eastAsia" w:cs="宋体"/>
          <w:color w:val="auto"/>
          <w:highlight w:val="none"/>
          <w:lang w:val="en-US" w:eastAsia="zh-CN"/>
        </w:rPr>
        <w:t>实施项目的承诺及措施；能够</w:t>
      </w:r>
      <w:r>
        <w:rPr>
          <w:rFonts w:hint="eastAsia" w:ascii="宋体" w:hAnsi="宋体" w:eastAsia="宋体" w:cs="宋体"/>
          <w:color w:val="auto"/>
          <w:highlight w:val="none"/>
        </w:rPr>
        <w:t>派驻专业人员进行现场配合、全面跟踪及后续服务</w:t>
      </w:r>
      <w:r>
        <w:rPr>
          <w:rFonts w:hint="eastAsia" w:cs="宋体"/>
          <w:color w:val="auto"/>
          <w:highlight w:val="none"/>
          <w:lang w:val="en-US" w:eastAsia="zh-CN"/>
        </w:rPr>
        <w:t>的承诺及措施；能够根据采购人需求进行</w:t>
      </w:r>
      <w:r>
        <w:rPr>
          <w:rFonts w:hint="eastAsia" w:ascii="宋体" w:hAnsi="宋体" w:eastAsia="宋体" w:cs="宋体"/>
          <w:color w:val="auto"/>
          <w:highlight w:val="none"/>
        </w:rPr>
        <w:t>方案调整或其他针对项目的定制化服务承诺及措施</w:t>
      </w:r>
      <w:r>
        <w:rPr>
          <w:rFonts w:hint="eastAsia" w:cs="宋体"/>
          <w:color w:val="auto"/>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18790"/>
    <w:multiLevelType w:val="singleLevel"/>
    <w:tmpl w:val="C1F18790"/>
    <w:lvl w:ilvl="0" w:tentative="0">
      <w:start w:val="1"/>
      <w:numFmt w:val="decimal"/>
      <w:lvlText w:val="%1."/>
      <w:lvlJc w:val="left"/>
      <w:pPr>
        <w:tabs>
          <w:tab w:val="left" w:pos="312"/>
        </w:tabs>
      </w:pPr>
      <w:rPr>
        <w:rFonts w:hint="default" w:ascii="宋体" w:hAnsi="宋体" w:eastAsia="宋体" w:cs="宋体"/>
        <w:sz w:val="18"/>
        <w:szCs w:val="18"/>
      </w:rPr>
    </w:lvl>
  </w:abstractNum>
  <w:abstractNum w:abstractNumId="1">
    <w:nsid w:val="E067AC16"/>
    <w:multiLevelType w:val="singleLevel"/>
    <w:tmpl w:val="E067AC1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5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paragraph" w:styleId="4">
    <w:name w:val="heading 1"/>
    <w:basedOn w:val="1"/>
    <w:next w:val="1"/>
    <w:link w:val="7"/>
    <w:qFormat/>
    <w:uiPriority w:val="0"/>
    <w:pPr>
      <w:keepNext/>
      <w:keepLines/>
      <w:spacing w:line="480" w:lineRule="auto"/>
      <w:jc w:val="center"/>
      <w:outlineLvl w:val="0"/>
    </w:pPr>
    <w:rPr>
      <w:rFonts w:ascii="Times New Roman" w:hAnsi="Times New Roman" w:cs="Times New Roman"/>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ascii="Times New Roman" w:hAnsi="Times New Roman" w:eastAsia="楷体_GB2312" w:cs="Times New Roman"/>
      <w:sz w:val="32"/>
      <w:szCs w:val="20"/>
    </w:rPr>
  </w:style>
  <w:style w:type="paragraph" w:styleId="3">
    <w:name w:val="Body Text"/>
    <w:basedOn w:val="1"/>
    <w:next w:val="1"/>
    <w:qFormat/>
    <w:uiPriority w:val="0"/>
    <w:pPr>
      <w:spacing w:after="120"/>
    </w:pPr>
    <w:rPr>
      <w:rFonts w:ascii="Times New Roman" w:hAnsi="Times New Roman" w:cs="Times New Roman"/>
    </w:rPr>
  </w:style>
  <w:style w:type="character" w:customStyle="1" w:styleId="7">
    <w:name w:val="标题 1 Char"/>
    <w:link w:val="4"/>
    <w:qFormat/>
    <w:locked/>
    <w:uiPriority w:val="0"/>
    <w:rPr>
      <w:rFonts w:ascii="Times New Roman" w:hAnsi="Times New Roman" w:cs="Times New Roman"/>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2025-07-31T04:06:40Z</dcterms:created>
  <dc:creator>Administrator</dc:creator>
  <cp:lastModifiedBy>崔丹</cp:lastModifiedBy>
  <dcterms:modified xsi:type="dcterms:W3CDTF">2025-07-31T04:06:58Z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eyJoZGlkIjoiOWMwZTkwMTc2Y2Y1OGJhYWU2N2Q0YTcwMGJhY2I2MDYiLCJ1c2VySWQiOiI0NTk1MjU5MTMifQ==</vt:lpwstr>
  </property>
  <property fmtid="{D5CDD505-2E9C-101B-9397-08002B2CF9AE}" pid="4" name="ICV">
    <vt:lpwstr>000AD553639E4B9795E9CD19BC545C5D_12</vt:lpwstr>
  </property>
</Properties>
</file>